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9BA41" w14:textId="77777777" w:rsidR="00F70CED" w:rsidRPr="00241323" w:rsidRDefault="00F70CED" w:rsidP="00F70CED">
      <w:pPr>
        <w:jc w:val="both"/>
        <w:rPr>
          <w:rFonts w:ascii="Arial" w:hAnsi="Arial" w:cs="Arial"/>
          <w:b/>
          <w:u w:val="single"/>
        </w:rPr>
      </w:pPr>
      <w:r w:rsidRPr="00241323">
        <w:rPr>
          <w:rFonts w:ascii="Arial" w:hAnsi="Arial" w:cs="Arial"/>
          <w:b/>
          <w:u w:val="single"/>
        </w:rPr>
        <w:t>Background</w:t>
      </w:r>
    </w:p>
    <w:p w14:paraId="2FEB16DF"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68D938E2" w14:textId="77777777" w:rsidR="00F70CED" w:rsidRPr="00241323"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 xml:space="preserve">WNV is an arthropod borne flavivirus, first isolated in 1937 and widely distributed in Africa, Western Asia, </w:t>
      </w:r>
      <w:proofErr w:type="gramStart"/>
      <w:r w:rsidRPr="00241323">
        <w:rPr>
          <w:rFonts w:ascii="Arial" w:hAnsi="Arial" w:cs="Arial"/>
          <w:sz w:val="22"/>
          <w:szCs w:val="22"/>
        </w:rPr>
        <w:t>Europe</w:t>
      </w:r>
      <w:proofErr w:type="gramEnd"/>
      <w:r w:rsidRPr="00241323">
        <w:rPr>
          <w:rFonts w:ascii="Arial" w:hAnsi="Arial" w:cs="Arial"/>
          <w:sz w:val="22"/>
          <w:szCs w:val="22"/>
        </w:rPr>
        <w:t xml:space="preserve"> and Australia. The principal vectors are </w:t>
      </w:r>
      <w:proofErr w:type="gramStart"/>
      <w:r w:rsidRPr="00241323">
        <w:rPr>
          <w:rFonts w:ascii="Arial" w:hAnsi="Arial" w:cs="Arial"/>
          <w:sz w:val="22"/>
          <w:szCs w:val="22"/>
        </w:rPr>
        <w:t>mosquitoes</w:t>
      </w:r>
      <w:proofErr w:type="gramEnd"/>
      <w:r w:rsidRPr="00241323">
        <w:rPr>
          <w:rFonts w:ascii="Arial" w:hAnsi="Arial" w:cs="Arial"/>
          <w:sz w:val="22"/>
          <w:szCs w:val="22"/>
        </w:rPr>
        <w:t xml:space="preserve"> and the principal hosts are wild birds. Humans and other animals </w:t>
      </w:r>
      <w:proofErr w:type="gramStart"/>
      <w:r w:rsidRPr="00241323">
        <w:rPr>
          <w:rFonts w:ascii="Arial" w:hAnsi="Arial" w:cs="Arial"/>
          <w:sz w:val="22"/>
          <w:szCs w:val="22"/>
        </w:rPr>
        <w:t>e.g.</w:t>
      </w:r>
      <w:proofErr w:type="gramEnd"/>
      <w:r w:rsidRPr="00241323">
        <w:rPr>
          <w:rFonts w:ascii="Arial" w:hAnsi="Arial" w:cs="Arial"/>
          <w:sz w:val="22"/>
          <w:szCs w:val="22"/>
        </w:rPr>
        <w:t xml:space="preserve"> horses, are infected via mosquito bites. They </w:t>
      </w:r>
      <w:proofErr w:type="gramStart"/>
      <w:r w:rsidRPr="00241323">
        <w:rPr>
          <w:rFonts w:ascii="Arial" w:hAnsi="Arial" w:cs="Arial"/>
          <w:sz w:val="22"/>
          <w:szCs w:val="22"/>
        </w:rPr>
        <w:t>are considered to be</w:t>
      </w:r>
      <w:proofErr w:type="gramEnd"/>
      <w:r w:rsidRPr="00241323">
        <w:rPr>
          <w:rFonts w:ascii="Arial" w:hAnsi="Arial" w:cs="Arial"/>
          <w:sz w:val="22"/>
          <w:szCs w:val="22"/>
        </w:rPr>
        <w:t xml:space="preserve"> "incidental hosts" as they do not develop sufficient viraemia to maintain transmission cycles. The incubation period of WNV in humans is reported to be 3-15 days. Most human infections are either asymptomatic (76%</w:t>
      </w:r>
      <w:proofErr w:type="gramStart"/>
      <w:r w:rsidRPr="00241323">
        <w:rPr>
          <w:rFonts w:ascii="Arial" w:hAnsi="Arial" w:cs="Arial"/>
          <w:sz w:val="22"/>
          <w:szCs w:val="22"/>
        </w:rPr>
        <w:t>), or</w:t>
      </w:r>
      <w:proofErr w:type="gramEnd"/>
      <w:r w:rsidRPr="00241323">
        <w:rPr>
          <w:rFonts w:ascii="Arial" w:hAnsi="Arial" w:cs="Arial"/>
          <w:sz w:val="22"/>
          <w:szCs w:val="22"/>
        </w:rPr>
        <w:t xml:space="preserve"> result in only mild flu-like symptoms with full recovery (24%)</w:t>
      </w:r>
      <w:r w:rsidRPr="00241323">
        <w:rPr>
          <w:rFonts w:ascii="Arial" w:hAnsi="Arial" w:cs="Arial"/>
          <w:sz w:val="22"/>
          <w:szCs w:val="22"/>
          <w:vertAlign w:val="superscript"/>
        </w:rPr>
        <w:t>,</w:t>
      </w:r>
      <w:r w:rsidRPr="00241323">
        <w:rPr>
          <w:rFonts w:ascii="Arial" w:hAnsi="Arial" w:cs="Arial"/>
          <w:sz w:val="22"/>
          <w:szCs w:val="22"/>
        </w:rPr>
        <w:t xml:space="preserve"> but 1 in 150 to 200 infected individuals may develop a more severe form of the disease which may culminate in fatal encephalitis, particularly if elderly or immunosuppressed. </w:t>
      </w:r>
    </w:p>
    <w:p w14:paraId="70682811"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66D5F894" w14:textId="77777777" w:rsidR="00F70CED" w:rsidRPr="00241323" w:rsidRDefault="00F70CED" w:rsidP="00F70CED">
      <w:pPr>
        <w:pStyle w:val="NormalWeb"/>
        <w:spacing w:before="0" w:beforeAutospacing="0" w:after="0" w:afterAutospacing="0"/>
        <w:jc w:val="both"/>
        <w:rPr>
          <w:rFonts w:ascii="Arial" w:hAnsi="Arial" w:cs="Arial"/>
          <w:sz w:val="22"/>
          <w:szCs w:val="22"/>
          <w:u w:val="single"/>
        </w:rPr>
      </w:pPr>
      <w:r w:rsidRPr="00241323">
        <w:rPr>
          <w:rFonts w:ascii="Arial" w:hAnsi="Arial" w:cs="Arial"/>
          <w:b/>
          <w:sz w:val="22"/>
          <w:szCs w:val="22"/>
          <w:u w:val="single"/>
        </w:rPr>
        <w:t>WNV in the US and Canada</w:t>
      </w:r>
    </w:p>
    <w:p w14:paraId="39AE2EE4"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6A49B498" w14:textId="77777777" w:rsidR="00F70CED" w:rsidRPr="00241323"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 xml:space="preserve">WNV emerged for the first time in the Northeast of the United States (US) in 1999. WNV case numbers increased in the US in following years, and WNV is now found across the whole of the US and into Canada. WNV cases in the US peaked in 2003 with 9858 human cases and 262 deaths. Thereafter there was a steady decline in cases until 2009 (663 human cases, 30 deaths and 109 presumptive viraemic blood donors). </w:t>
      </w:r>
      <w:proofErr w:type="gramStart"/>
      <w:r w:rsidRPr="00241323">
        <w:rPr>
          <w:rFonts w:ascii="Arial" w:hAnsi="Arial" w:cs="Arial"/>
          <w:sz w:val="22"/>
          <w:szCs w:val="22"/>
        </w:rPr>
        <w:t>With the exception of</w:t>
      </w:r>
      <w:proofErr w:type="gramEnd"/>
      <w:r w:rsidRPr="00241323">
        <w:rPr>
          <w:rFonts w:ascii="Arial" w:hAnsi="Arial" w:cs="Arial"/>
          <w:sz w:val="22"/>
          <w:szCs w:val="22"/>
        </w:rPr>
        <w:t xml:space="preserve"> 2012, in which the highest number of WNV cases since 2003 was reported (5387 human cases, 243 deaths, 597 presumptive viraemic blood donors), the number of WNV cases has remained relatively constant with the number of presumptive viraemic blood donors identified also remaining constant and high. In Canada a similar pattern has been seen. The majority (99%) of the human cases currently occur between 1</w:t>
      </w:r>
      <w:r w:rsidRPr="00241323">
        <w:rPr>
          <w:rFonts w:ascii="Arial" w:hAnsi="Arial" w:cs="Arial"/>
          <w:sz w:val="22"/>
          <w:szCs w:val="22"/>
          <w:vertAlign w:val="superscript"/>
        </w:rPr>
        <w:t>st</w:t>
      </w:r>
      <w:r w:rsidRPr="00241323">
        <w:rPr>
          <w:rFonts w:ascii="Arial" w:hAnsi="Arial" w:cs="Arial"/>
          <w:sz w:val="22"/>
          <w:szCs w:val="22"/>
        </w:rPr>
        <w:t xml:space="preserve"> July and 31</w:t>
      </w:r>
      <w:r w:rsidRPr="00241323">
        <w:rPr>
          <w:rFonts w:ascii="Arial" w:hAnsi="Arial" w:cs="Arial"/>
          <w:sz w:val="22"/>
          <w:szCs w:val="22"/>
          <w:vertAlign w:val="superscript"/>
        </w:rPr>
        <w:t>st</w:t>
      </w:r>
      <w:r w:rsidRPr="00241323">
        <w:rPr>
          <w:rFonts w:ascii="Arial" w:hAnsi="Arial" w:cs="Arial"/>
          <w:sz w:val="22"/>
          <w:szCs w:val="22"/>
        </w:rPr>
        <w:t xml:space="preserve"> October each year.</w:t>
      </w:r>
    </w:p>
    <w:p w14:paraId="28A22E45"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70D5DAFD" w14:textId="77777777" w:rsidR="00F70CED" w:rsidRPr="00241323" w:rsidRDefault="00F70CED" w:rsidP="00F70CED">
      <w:pPr>
        <w:pStyle w:val="NormalWeb"/>
        <w:shd w:val="clear" w:color="auto" w:fill="FFFFFF" w:themeFill="background1"/>
        <w:spacing w:before="0" w:beforeAutospacing="0" w:after="0" w:afterAutospacing="0"/>
        <w:jc w:val="both"/>
        <w:rPr>
          <w:rFonts w:ascii="Arial" w:hAnsi="Arial" w:cs="Arial"/>
          <w:sz w:val="22"/>
          <w:szCs w:val="22"/>
        </w:rPr>
      </w:pPr>
      <w:r w:rsidRPr="00241323">
        <w:rPr>
          <w:rFonts w:ascii="Arial" w:hAnsi="Arial" w:cs="Arial"/>
          <w:sz w:val="22"/>
          <w:szCs w:val="22"/>
        </w:rPr>
        <w:t xml:space="preserve">As travel to the USA and Canada is common in UK blood </w:t>
      </w:r>
      <w:r w:rsidRPr="00EA49D9">
        <w:rPr>
          <w:rFonts w:ascii="Arial" w:hAnsi="Arial" w:cs="Arial"/>
          <w:sz w:val="22"/>
          <w:szCs w:val="22"/>
        </w:rPr>
        <w:t>donors (although not currently due to the COVID-19 pandemic)</w:t>
      </w:r>
      <w:r w:rsidRPr="00241323">
        <w:rPr>
          <w:rFonts w:ascii="Arial" w:hAnsi="Arial" w:cs="Arial"/>
          <w:sz w:val="22"/>
          <w:szCs w:val="22"/>
        </w:rPr>
        <w:t>, a deferral policy for such donors was adopted by UK Blood Transfusion Services in June 2003 as a precautionary measure.</w:t>
      </w:r>
    </w:p>
    <w:p w14:paraId="573F1884"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2A9C5C7E" w14:textId="77777777" w:rsidR="00F70CED" w:rsidRPr="00241323" w:rsidRDefault="00F70CED" w:rsidP="00F70CED">
      <w:pPr>
        <w:pStyle w:val="NormalWeb"/>
        <w:spacing w:before="0" w:beforeAutospacing="0" w:after="0" w:afterAutospacing="0"/>
        <w:jc w:val="both"/>
        <w:rPr>
          <w:rFonts w:ascii="Arial" w:hAnsi="Arial" w:cs="Arial"/>
          <w:sz w:val="22"/>
          <w:szCs w:val="22"/>
          <w:u w:val="single"/>
        </w:rPr>
      </w:pPr>
      <w:r w:rsidRPr="00241323">
        <w:rPr>
          <w:rFonts w:ascii="Arial" w:hAnsi="Arial" w:cs="Arial"/>
          <w:b/>
          <w:sz w:val="22"/>
          <w:szCs w:val="22"/>
          <w:u w:val="single"/>
        </w:rPr>
        <w:t>WNV in Europe</w:t>
      </w:r>
    </w:p>
    <w:p w14:paraId="4B950DC3"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303DD053" w14:textId="77777777" w:rsidR="00F70CED" w:rsidRPr="00241323"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In Europe, sporadic WNV outbreaks have occurred in Romania (1996 and 2008)</w:t>
      </w:r>
      <w:r>
        <w:rPr>
          <w:rFonts w:ascii="Arial" w:hAnsi="Arial" w:cs="Arial"/>
          <w:sz w:val="22"/>
          <w:szCs w:val="22"/>
        </w:rPr>
        <w:t>, Russia (1999), Israel (2000) and Hungary (</w:t>
      </w:r>
      <w:r w:rsidRPr="00241323">
        <w:rPr>
          <w:rFonts w:ascii="Arial" w:hAnsi="Arial" w:cs="Arial"/>
          <w:sz w:val="22"/>
          <w:szCs w:val="22"/>
        </w:rPr>
        <w:t xml:space="preserve">2008). During 2010, human cases were reported in </w:t>
      </w:r>
      <w:proofErr w:type="gramStart"/>
      <w:r w:rsidRPr="00241323">
        <w:rPr>
          <w:rFonts w:ascii="Arial" w:hAnsi="Arial" w:cs="Arial"/>
          <w:sz w:val="22"/>
          <w:szCs w:val="22"/>
        </w:rPr>
        <w:t>a number of</w:t>
      </w:r>
      <w:proofErr w:type="gramEnd"/>
      <w:r w:rsidRPr="00241323">
        <w:rPr>
          <w:rFonts w:ascii="Arial" w:hAnsi="Arial" w:cs="Arial"/>
          <w:sz w:val="22"/>
          <w:szCs w:val="22"/>
        </w:rPr>
        <w:t xml:space="preserve"> European countries, including Hungary, Spain, I</w:t>
      </w:r>
      <w:r>
        <w:rPr>
          <w:rFonts w:ascii="Arial" w:hAnsi="Arial" w:cs="Arial"/>
          <w:sz w:val="22"/>
          <w:szCs w:val="22"/>
        </w:rPr>
        <w:t xml:space="preserve">taly, Greece, Romania and Russia. </w:t>
      </w:r>
      <w:r w:rsidRPr="00241323">
        <w:rPr>
          <w:rFonts w:ascii="Arial" w:hAnsi="Arial" w:cs="Arial"/>
          <w:sz w:val="22"/>
          <w:szCs w:val="22"/>
        </w:rPr>
        <w:t>Whereas WNV lineage 1 is the circulating genotype in the US, both lineage 1 and lineage 2 are circulating in Europe and t</w:t>
      </w:r>
      <w:r w:rsidRPr="00241323">
        <w:rPr>
          <w:rFonts w:ascii="Arial" w:hAnsi="Arial" w:cs="Arial"/>
          <w:color w:val="231F20"/>
          <w:sz w:val="22"/>
          <w:szCs w:val="22"/>
          <w:lang w:val="en-US"/>
        </w:rPr>
        <w:t xml:space="preserve">he importance of the presence of both lineages in Europe needs to be better understood. </w:t>
      </w:r>
      <w:r w:rsidRPr="00241323">
        <w:rPr>
          <w:rFonts w:ascii="Arial" w:hAnsi="Arial" w:cs="Arial"/>
          <w:sz w:val="22"/>
          <w:szCs w:val="22"/>
        </w:rPr>
        <w:t>Further WNV outbreaks in a</w:t>
      </w:r>
      <w:r>
        <w:rPr>
          <w:rFonts w:ascii="Arial" w:hAnsi="Arial" w:cs="Arial"/>
          <w:sz w:val="22"/>
          <w:szCs w:val="22"/>
        </w:rPr>
        <w:t>n increasing</w:t>
      </w:r>
      <w:r w:rsidRPr="00241323">
        <w:rPr>
          <w:rFonts w:ascii="Arial" w:hAnsi="Arial" w:cs="Arial"/>
          <w:sz w:val="22"/>
          <w:szCs w:val="22"/>
        </w:rPr>
        <w:t xml:space="preserve"> number of areas within Europe in 2010/11 led to the recommendation for WNV NAT testing in the "WNV Preparedness Plan" </w:t>
      </w:r>
      <w:proofErr w:type="gramStart"/>
      <w:r w:rsidRPr="00241323">
        <w:rPr>
          <w:rFonts w:ascii="Arial" w:hAnsi="Arial" w:cs="Arial"/>
          <w:sz w:val="22"/>
          <w:szCs w:val="22"/>
        </w:rPr>
        <w:t>in order for</w:t>
      </w:r>
      <w:proofErr w:type="gramEnd"/>
      <w:r w:rsidRPr="00241323">
        <w:rPr>
          <w:rFonts w:ascii="Arial" w:hAnsi="Arial" w:cs="Arial"/>
          <w:sz w:val="22"/>
          <w:szCs w:val="22"/>
        </w:rPr>
        <w:t xml:space="preserve"> countries to maintain a sufficient blood supply and a number introduced WNV NAT testing.</w:t>
      </w:r>
    </w:p>
    <w:p w14:paraId="4E6DDBDD"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679893B6" w14:textId="77777777" w:rsidR="00F70CED"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lastRenderedPageBreak/>
        <w:t>Monitoring of cases of WNV with weekly surveillance updates is carried out by the European Centre for Disease Prevention and Control (ECDC) (Table 1</w:t>
      </w:r>
      <w:r>
        <w:rPr>
          <w:rFonts w:ascii="Arial" w:hAnsi="Arial" w:cs="Arial"/>
          <w:sz w:val="22"/>
          <w:szCs w:val="22"/>
        </w:rPr>
        <w:t>, Figure 1</w:t>
      </w:r>
      <w:r w:rsidRPr="00241323">
        <w:rPr>
          <w:rFonts w:ascii="Arial" w:hAnsi="Arial" w:cs="Arial"/>
          <w:sz w:val="22"/>
          <w:szCs w:val="22"/>
        </w:rPr>
        <w:t>).</w:t>
      </w:r>
      <w:r>
        <w:rPr>
          <w:rFonts w:ascii="Arial" w:hAnsi="Arial" w:cs="Arial"/>
          <w:sz w:val="22"/>
          <w:szCs w:val="22"/>
        </w:rPr>
        <w:t xml:space="preserve"> </w:t>
      </w:r>
      <w:r w:rsidRPr="00F70CED">
        <w:rPr>
          <w:rFonts w:ascii="Arial" w:hAnsi="Arial" w:cs="Arial"/>
          <w:sz w:val="22"/>
          <w:szCs w:val="22"/>
          <w:shd w:val="clear" w:color="auto" w:fill="FFFFFF" w:themeFill="background1"/>
        </w:rPr>
        <w:t>Distribution of outbreaks in equids and/or birds are also monitored to indicate areas at risk for human WNV infections.</w:t>
      </w:r>
    </w:p>
    <w:p w14:paraId="63679291" w14:textId="77777777" w:rsidR="00F70CED" w:rsidRDefault="00F70CED" w:rsidP="00F70CED">
      <w:pPr>
        <w:pStyle w:val="NormalWeb"/>
        <w:spacing w:before="0" w:beforeAutospacing="0" w:after="0" w:afterAutospacing="0"/>
        <w:jc w:val="both"/>
        <w:rPr>
          <w:rFonts w:ascii="Arial" w:hAnsi="Arial" w:cs="Arial"/>
          <w:sz w:val="22"/>
          <w:szCs w:val="22"/>
        </w:rPr>
      </w:pPr>
    </w:p>
    <w:p w14:paraId="176EC2A2"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0F2D814B" w14:textId="77777777" w:rsidR="00F70CED" w:rsidRPr="00241323" w:rsidRDefault="00F70CED" w:rsidP="00F70CED">
      <w:pPr>
        <w:pStyle w:val="NormalWeb"/>
        <w:spacing w:before="0" w:beforeAutospacing="0" w:after="0" w:afterAutospacing="0"/>
        <w:jc w:val="both"/>
        <w:rPr>
          <w:rFonts w:ascii="Arial" w:hAnsi="Arial" w:cs="Arial"/>
          <w:b/>
          <w:sz w:val="22"/>
          <w:szCs w:val="22"/>
        </w:rPr>
      </w:pPr>
      <w:r w:rsidRPr="00241323">
        <w:rPr>
          <w:rFonts w:ascii="Arial" w:hAnsi="Arial" w:cs="Arial"/>
          <w:b/>
          <w:sz w:val="22"/>
          <w:szCs w:val="22"/>
        </w:rPr>
        <w:t>Table 1:</w:t>
      </w:r>
      <w:r w:rsidRPr="00241323">
        <w:rPr>
          <w:rFonts w:ascii="Arial" w:hAnsi="Arial" w:cs="Arial"/>
          <w:b/>
          <w:sz w:val="22"/>
          <w:szCs w:val="22"/>
        </w:rPr>
        <w:tab/>
        <w:t xml:space="preserve">WNV cases in EU and </w:t>
      </w:r>
      <w:r>
        <w:rPr>
          <w:rFonts w:ascii="Arial" w:hAnsi="Arial" w:cs="Arial"/>
          <w:b/>
          <w:sz w:val="22"/>
          <w:szCs w:val="22"/>
        </w:rPr>
        <w:t xml:space="preserve">EEA </w:t>
      </w:r>
      <w:r w:rsidRPr="00241323">
        <w:rPr>
          <w:rFonts w:ascii="Arial" w:hAnsi="Arial" w:cs="Arial"/>
          <w:b/>
          <w:sz w:val="22"/>
          <w:szCs w:val="22"/>
        </w:rPr>
        <w:t>surrounding countries by year</w:t>
      </w:r>
    </w:p>
    <w:p w14:paraId="5FC5D5D0" w14:textId="77777777" w:rsidR="00F70CED" w:rsidRPr="00241323" w:rsidRDefault="00F70CED" w:rsidP="00F70CED">
      <w:pPr>
        <w:pStyle w:val="NormalWeb"/>
        <w:spacing w:before="0" w:beforeAutospacing="0" w:after="0" w:afterAutospacing="0"/>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2126"/>
        <w:gridCol w:w="2528"/>
      </w:tblGrid>
      <w:tr w:rsidR="00F70CED" w:rsidRPr="00241323" w14:paraId="1E118D96" w14:textId="77777777" w:rsidTr="00BB0F4F">
        <w:trPr>
          <w:jc w:val="center"/>
        </w:trPr>
        <w:tc>
          <w:tcPr>
            <w:tcW w:w="2791" w:type="dxa"/>
          </w:tcPr>
          <w:p w14:paraId="43A875E9" w14:textId="77777777" w:rsidR="00F70CED" w:rsidRPr="00241323" w:rsidRDefault="00F70CED" w:rsidP="00BB0F4F">
            <w:pPr>
              <w:pStyle w:val="NormalWeb"/>
              <w:spacing w:before="0" w:beforeAutospacing="0" w:after="0" w:afterAutospacing="0"/>
              <w:jc w:val="both"/>
              <w:rPr>
                <w:rFonts w:ascii="Arial" w:hAnsi="Arial" w:cs="Arial"/>
                <w:b/>
                <w:sz w:val="22"/>
                <w:szCs w:val="22"/>
              </w:rPr>
            </w:pPr>
            <w:r w:rsidRPr="00241323">
              <w:rPr>
                <w:rFonts w:ascii="Arial" w:hAnsi="Arial" w:cs="Arial"/>
                <w:b/>
                <w:sz w:val="22"/>
                <w:szCs w:val="22"/>
              </w:rPr>
              <w:t>Year</w:t>
            </w:r>
          </w:p>
        </w:tc>
        <w:tc>
          <w:tcPr>
            <w:tcW w:w="2126" w:type="dxa"/>
          </w:tcPr>
          <w:p w14:paraId="30C05452" w14:textId="77777777" w:rsidR="00F70CED" w:rsidRPr="00241323" w:rsidRDefault="00F70CED" w:rsidP="00BB0F4F">
            <w:pPr>
              <w:pStyle w:val="NormalWeb"/>
              <w:spacing w:before="0" w:beforeAutospacing="0" w:after="0" w:afterAutospacing="0"/>
              <w:rPr>
                <w:rFonts w:ascii="Arial" w:hAnsi="Arial" w:cs="Arial"/>
                <w:b/>
                <w:sz w:val="22"/>
                <w:szCs w:val="22"/>
              </w:rPr>
            </w:pPr>
            <w:r w:rsidRPr="00241323">
              <w:rPr>
                <w:rFonts w:ascii="Arial" w:hAnsi="Arial" w:cs="Arial"/>
                <w:b/>
                <w:sz w:val="22"/>
                <w:szCs w:val="22"/>
              </w:rPr>
              <w:t>Cases in EU</w:t>
            </w:r>
            <w:r>
              <w:rPr>
                <w:rFonts w:ascii="Arial" w:hAnsi="Arial" w:cs="Arial"/>
                <w:b/>
                <w:sz w:val="22"/>
                <w:szCs w:val="22"/>
              </w:rPr>
              <w:t>/EEA</w:t>
            </w:r>
            <w:r w:rsidRPr="00241323">
              <w:rPr>
                <w:rFonts w:ascii="Arial" w:hAnsi="Arial" w:cs="Arial"/>
                <w:b/>
                <w:sz w:val="22"/>
                <w:szCs w:val="22"/>
              </w:rPr>
              <w:t xml:space="preserve"> countries</w:t>
            </w:r>
          </w:p>
        </w:tc>
        <w:tc>
          <w:tcPr>
            <w:tcW w:w="2528" w:type="dxa"/>
          </w:tcPr>
          <w:p w14:paraId="5D6F9E1C" w14:textId="77777777" w:rsidR="00F70CED" w:rsidRPr="00241323" w:rsidRDefault="00F70CED" w:rsidP="00BB0F4F">
            <w:pPr>
              <w:pStyle w:val="NormalWeb"/>
              <w:spacing w:before="0" w:beforeAutospacing="0" w:after="0" w:afterAutospacing="0"/>
              <w:jc w:val="both"/>
              <w:rPr>
                <w:rFonts w:ascii="Arial" w:hAnsi="Arial" w:cs="Arial"/>
                <w:b/>
                <w:sz w:val="22"/>
                <w:szCs w:val="22"/>
              </w:rPr>
            </w:pPr>
            <w:r w:rsidRPr="00241323">
              <w:rPr>
                <w:rFonts w:ascii="Arial" w:hAnsi="Arial" w:cs="Arial"/>
                <w:b/>
                <w:sz w:val="22"/>
                <w:szCs w:val="22"/>
              </w:rPr>
              <w:t>Cases in surrounding countries</w:t>
            </w:r>
          </w:p>
        </w:tc>
      </w:tr>
      <w:tr w:rsidR="00F70CED" w:rsidRPr="00241323" w14:paraId="42872FF0" w14:textId="77777777" w:rsidTr="00BB0F4F">
        <w:trPr>
          <w:jc w:val="center"/>
        </w:trPr>
        <w:tc>
          <w:tcPr>
            <w:tcW w:w="2791" w:type="dxa"/>
          </w:tcPr>
          <w:p w14:paraId="22717F2C"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2011</w:t>
            </w:r>
          </w:p>
        </w:tc>
        <w:tc>
          <w:tcPr>
            <w:tcW w:w="2126" w:type="dxa"/>
          </w:tcPr>
          <w:p w14:paraId="77287FFE"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128</w:t>
            </w:r>
          </w:p>
        </w:tc>
        <w:tc>
          <w:tcPr>
            <w:tcW w:w="2528" w:type="dxa"/>
          </w:tcPr>
          <w:p w14:paraId="67C31846"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212</w:t>
            </w:r>
          </w:p>
        </w:tc>
      </w:tr>
      <w:tr w:rsidR="00F70CED" w:rsidRPr="00241323" w14:paraId="14CB55EA" w14:textId="77777777" w:rsidTr="00BB0F4F">
        <w:trPr>
          <w:jc w:val="center"/>
        </w:trPr>
        <w:tc>
          <w:tcPr>
            <w:tcW w:w="2791" w:type="dxa"/>
          </w:tcPr>
          <w:p w14:paraId="5746E35A"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2012</w:t>
            </w:r>
          </w:p>
        </w:tc>
        <w:tc>
          <w:tcPr>
            <w:tcW w:w="2126" w:type="dxa"/>
          </w:tcPr>
          <w:p w14:paraId="558CD361"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242</w:t>
            </w:r>
          </w:p>
        </w:tc>
        <w:tc>
          <w:tcPr>
            <w:tcW w:w="2528" w:type="dxa"/>
          </w:tcPr>
          <w:p w14:paraId="1696085B"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693</w:t>
            </w:r>
          </w:p>
        </w:tc>
      </w:tr>
      <w:tr w:rsidR="00F70CED" w:rsidRPr="00241323" w14:paraId="6211F6AC" w14:textId="77777777" w:rsidTr="00BB0F4F">
        <w:trPr>
          <w:jc w:val="center"/>
        </w:trPr>
        <w:tc>
          <w:tcPr>
            <w:tcW w:w="2791" w:type="dxa"/>
          </w:tcPr>
          <w:p w14:paraId="57ABB717"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2013</w:t>
            </w:r>
          </w:p>
        </w:tc>
        <w:tc>
          <w:tcPr>
            <w:tcW w:w="2126" w:type="dxa"/>
          </w:tcPr>
          <w:p w14:paraId="719BD953"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228</w:t>
            </w:r>
          </w:p>
        </w:tc>
        <w:tc>
          <w:tcPr>
            <w:tcW w:w="2528" w:type="dxa"/>
          </w:tcPr>
          <w:p w14:paraId="02ED3B8B"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557</w:t>
            </w:r>
          </w:p>
        </w:tc>
      </w:tr>
      <w:tr w:rsidR="00F70CED" w:rsidRPr="00241323" w14:paraId="42EABDF1" w14:textId="77777777" w:rsidTr="00BB0F4F">
        <w:trPr>
          <w:jc w:val="center"/>
        </w:trPr>
        <w:tc>
          <w:tcPr>
            <w:tcW w:w="2791" w:type="dxa"/>
          </w:tcPr>
          <w:p w14:paraId="663100A6"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2014</w:t>
            </w:r>
          </w:p>
        </w:tc>
        <w:tc>
          <w:tcPr>
            <w:tcW w:w="2126" w:type="dxa"/>
          </w:tcPr>
          <w:p w14:paraId="00F2BAD2"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7</w:t>
            </w:r>
            <w:r>
              <w:rPr>
                <w:rFonts w:ascii="Arial" w:hAnsi="Arial" w:cs="Arial"/>
                <w:sz w:val="22"/>
                <w:szCs w:val="22"/>
              </w:rPr>
              <w:t>5</w:t>
            </w:r>
          </w:p>
        </w:tc>
        <w:tc>
          <w:tcPr>
            <w:tcW w:w="2528" w:type="dxa"/>
          </w:tcPr>
          <w:p w14:paraId="7AF5CDF2"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136</w:t>
            </w:r>
          </w:p>
        </w:tc>
      </w:tr>
      <w:tr w:rsidR="00F70CED" w:rsidRPr="00241323" w14:paraId="7BA14679" w14:textId="77777777" w:rsidTr="00BB0F4F">
        <w:trPr>
          <w:jc w:val="center"/>
        </w:trPr>
        <w:tc>
          <w:tcPr>
            <w:tcW w:w="2791" w:type="dxa"/>
          </w:tcPr>
          <w:p w14:paraId="4285A3B0"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2015</w:t>
            </w:r>
          </w:p>
        </w:tc>
        <w:tc>
          <w:tcPr>
            <w:tcW w:w="2126" w:type="dxa"/>
          </w:tcPr>
          <w:p w14:paraId="1BE56850"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1</w:t>
            </w:r>
            <w:r>
              <w:rPr>
                <w:rFonts w:ascii="Arial" w:hAnsi="Arial" w:cs="Arial"/>
                <w:sz w:val="22"/>
                <w:szCs w:val="22"/>
              </w:rPr>
              <w:t>22</w:t>
            </w:r>
          </w:p>
        </w:tc>
        <w:tc>
          <w:tcPr>
            <w:tcW w:w="2528" w:type="dxa"/>
          </w:tcPr>
          <w:p w14:paraId="4ADF8294"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193</w:t>
            </w:r>
          </w:p>
        </w:tc>
      </w:tr>
      <w:tr w:rsidR="00F70CED" w:rsidRPr="00241323" w14:paraId="16603411" w14:textId="77777777" w:rsidTr="00BB0F4F">
        <w:trPr>
          <w:jc w:val="center"/>
        </w:trPr>
        <w:tc>
          <w:tcPr>
            <w:tcW w:w="2791" w:type="dxa"/>
          </w:tcPr>
          <w:p w14:paraId="75198092"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2016</w:t>
            </w:r>
          </w:p>
        </w:tc>
        <w:tc>
          <w:tcPr>
            <w:tcW w:w="2126" w:type="dxa"/>
          </w:tcPr>
          <w:p w14:paraId="6E66618A"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w:t>
            </w:r>
            <w:r>
              <w:rPr>
                <w:rFonts w:ascii="Arial" w:hAnsi="Arial" w:cs="Arial"/>
                <w:sz w:val="22"/>
                <w:szCs w:val="22"/>
              </w:rPr>
              <w:t>26</w:t>
            </w:r>
          </w:p>
        </w:tc>
        <w:tc>
          <w:tcPr>
            <w:tcW w:w="2528" w:type="dxa"/>
          </w:tcPr>
          <w:p w14:paraId="68B8D8C0"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267</w:t>
            </w:r>
          </w:p>
        </w:tc>
      </w:tr>
      <w:tr w:rsidR="00F70CED" w:rsidRPr="00241323" w14:paraId="4B650231" w14:textId="77777777" w:rsidTr="00BB0F4F">
        <w:trPr>
          <w:jc w:val="center"/>
        </w:trPr>
        <w:tc>
          <w:tcPr>
            <w:tcW w:w="2791" w:type="dxa"/>
          </w:tcPr>
          <w:p w14:paraId="03BA1C63"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2017</w:t>
            </w:r>
          </w:p>
        </w:tc>
        <w:tc>
          <w:tcPr>
            <w:tcW w:w="2126" w:type="dxa"/>
          </w:tcPr>
          <w:p w14:paraId="15DFBBE3"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w:t>
            </w:r>
            <w:r>
              <w:rPr>
                <w:rFonts w:ascii="Arial" w:hAnsi="Arial" w:cs="Arial"/>
                <w:sz w:val="22"/>
                <w:szCs w:val="22"/>
              </w:rPr>
              <w:t>1</w:t>
            </w:r>
          </w:p>
        </w:tc>
        <w:tc>
          <w:tcPr>
            <w:tcW w:w="2528" w:type="dxa"/>
          </w:tcPr>
          <w:p w14:paraId="4337B69A"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84</w:t>
            </w:r>
          </w:p>
        </w:tc>
      </w:tr>
      <w:tr w:rsidR="00F70CED" w:rsidRPr="00241323" w14:paraId="3AC7FD6F" w14:textId="77777777" w:rsidTr="00BB0F4F">
        <w:trPr>
          <w:jc w:val="center"/>
        </w:trPr>
        <w:tc>
          <w:tcPr>
            <w:tcW w:w="2791" w:type="dxa"/>
          </w:tcPr>
          <w:p w14:paraId="7D12003E"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2018</w:t>
            </w:r>
          </w:p>
        </w:tc>
        <w:tc>
          <w:tcPr>
            <w:tcW w:w="2126" w:type="dxa"/>
          </w:tcPr>
          <w:p w14:paraId="36A040B0"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15</w:t>
            </w:r>
            <w:r>
              <w:rPr>
                <w:rFonts w:ascii="Arial" w:hAnsi="Arial" w:cs="Arial"/>
                <w:sz w:val="22"/>
                <w:szCs w:val="22"/>
              </w:rPr>
              <w:t>49</w:t>
            </w:r>
          </w:p>
        </w:tc>
        <w:tc>
          <w:tcPr>
            <w:tcW w:w="2528" w:type="dxa"/>
          </w:tcPr>
          <w:p w14:paraId="3CDE64A6" w14:textId="77777777" w:rsidR="00F70CED" w:rsidRPr="00241323" w:rsidRDefault="00F70CED" w:rsidP="00BB0F4F">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580</w:t>
            </w:r>
          </w:p>
        </w:tc>
      </w:tr>
      <w:tr w:rsidR="00F70CED" w:rsidRPr="00241323" w14:paraId="245D229F" w14:textId="77777777" w:rsidTr="00BB0F4F">
        <w:trPr>
          <w:jc w:val="center"/>
        </w:trPr>
        <w:tc>
          <w:tcPr>
            <w:tcW w:w="2791" w:type="dxa"/>
            <w:shd w:val="clear" w:color="auto" w:fill="FFFFFF" w:themeFill="background1"/>
          </w:tcPr>
          <w:p w14:paraId="25526FF4"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 xml:space="preserve">2019 </w:t>
            </w:r>
          </w:p>
        </w:tc>
        <w:tc>
          <w:tcPr>
            <w:tcW w:w="2126" w:type="dxa"/>
            <w:shd w:val="clear" w:color="auto" w:fill="FFFFFF" w:themeFill="background1"/>
          </w:tcPr>
          <w:p w14:paraId="669DBB4E"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425</w:t>
            </w:r>
          </w:p>
        </w:tc>
        <w:tc>
          <w:tcPr>
            <w:tcW w:w="2528" w:type="dxa"/>
            <w:shd w:val="clear" w:color="auto" w:fill="FFFFFF" w:themeFill="background1"/>
          </w:tcPr>
          <w:p w14:paraId="4C278D1B"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53</w:t>
            </w:r>
          </w:p>
        </w:tc>
      </w:tr>
      <w:tr w:rsidR="00F70CED" w:rsidRPr="00241323" w14:paraId="5EBBB4C7" w14:textId="77777777" w:rsidTr="00F70CED">
        <w:trPr>
          <w:jc w:val="center"/>
        </w:trPr>
        <w:tc>
          <w:tcPr>
            <w:tcW w:w="2791" w:type="dxa"/>
            <w:shd w:val="clear" w:color="auto" w:fill="FFFFFF" w:themeFill="background1"/>
          </w:tcPr>
          <w:p w14:paraId="2405F120"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 xml:space="preserve">2020 </w:t>
            </w:r>
          </w:p>
        </w:tc>
        <w:tc>
          <w:tcPr>
            <w:tcW w:w="2126" w:type="dxa"/>
            <w:shd w:val="clear" w:color="auto" w:fill="FFFFFF" w:themeFill="background1"/>
          </w:tcPr>
          <w:p w14:paraId="1300176B"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319</w:t>
            </w:r>
          </w:p>
        </w:tc>
        <w:tc>
          <w:tcPr>
            <w:tcW w:w="2528" w:type="dxa"/>
            <w:shd w:val="clear" w:color="auto" w:fill="FFFFFF" w:themeFill="background1"/>
          </w:tcPr>
          <w:p w14:paraId="058F1F98"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17</w:t>
            </w:r>
          </w:p>
        </w:tc>
      </w:tr>
      <w:tr w:rsidR="00F70CED" w:rsidRPr="00241323" w14:paraId="2B68AE1C" w14:textId="77777777" w:rsidTr="00F70CED">
        <w:trPr>
          <w:jc w:val="center"/>
        </w:trPr>
        <w:tc>
          <w:tcPr>
            <w:tcW w:w="2791" w:type="dxa"/>
            <w:shd w:val="clear" w:color="auto" w:fill="FFFFFF" w:themeFill="background1"/>
          </w:tcPr>
          <w:p w14:paraId="621316B9"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2021 (to Oct 14</w:t>
            </w:r>
            <w:r w:rsidRPr="00F70CED">
              <w:rPr>
                <w:rFonts w:ascii="Arial" w:hAnsi="Arial" w:cs="Arial"/>
                <w:sz w:val="22"/>
                <w:szCs w:val="22"/>
                <w:vertAlign w:val="superscript"/>
              </w:rPr>
              <w:t>th</w:t>
            </w:r>
            <w:proofErr w:type="gramStart"/>
            <w:r w:rsidRPr="00F70CED">
              <w:rPr>
                <w:rFonts w:ascii="Arial" w:hAnsi="Arial" w:cs="Arial"/>
                <w:sz w:val="22"/>
                <w:szCs w:val="22"/>
              </w:rPr>
              <w:t xml:space="preserve"> 2021</w:t>
            </w:r>
            <w:proofErr w:type="gramEnd"/>
            <w:r w:rsidRPr="00F70CED">
              <w:rPr>
                <w:rFonts w:ascii="Arial" w:hAnsi="Arial" w:cs="Arial"/>
                <w:sz w:val="22"/>
                <w:szCs w:val="22"/>
              </w:rPr>
              <w:t>)</w:t>
            </w:r>
          </w:p>
        </w:tc>
        <w:tc>
          <w:tcPr>
            <w:tcW w:w="2126" w:type="dxa"/>
            <w:shd w:val="clear" w:color="auto" w:fill="FFFFFF" w:themeFill="background1"/>
          </w:tcPr>
          <w:p w14:paraId="115BAEA5"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132</w:t>
            </w:r>
          </w:p>
        </w:tc>
        <w:tc>
          <w:tcPr>
            <w:tcW w:w="2528" w:type="dxa"/>
            <w:shd w:val="clear" w:color="auto" w:fill="FFFFFF" w:themeFill="background1"/>
          </w:tcPr>
          <w:p w14:paraId="0547B7F4" w14:textId="77777777" w:rsidR="00F70CED" w:rsidRPr="00F70CED" w:rsidRDefault="00F70CED" w:rsidP="00BB0F4F">
            <w:pPr>
              <w:pStyle w:val="NormalWeb"/>
              <w:spacing w:before="0" w:beforeAutospacing="0" w:after="0" w:afterAutospacing="0"/>
              <w:jc w:val="both"/>
              <w:rPr>
                <w:rFonts w:ascii="Arial" w:hAnsi="Arial" w:cs="Arial"/>
                <w:sz w:val="22"/>
                <w:szCs w:val="22"/>
              </w:rPr>
            </w:pPr>
            <w:r w:rsidRPr="00F70CED">
              <w:rPr>
                <w:rFonts w:ascii="Arial" w:hAnsi="Arial" w:cs="Arial"/>
                <w:sz w:val="22"/>
                <w:szCs w:val="22"/>
              </w:rPr>
              <w:t>18</w:t>
            </w:r>
          </w:p>
        </w:tc>
      </w:tr>
    </w:tbl>
    <w:p w14:paraId="69EC30ED"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251DDC40" w14:textId="77777777" w:rsidR="00F70CED" w:rsidRDefault="00F70CED" w:rsidP="00F70CED">
      <w:pPr>
        <w:pStyle w:val="NormalWeb"/>
        <w:spacing w:before="0" w:beforeAutospacing="0" w:after="0" w:afterAutospacing="0"/>
        <w:jc w:val="both"/>
        <w:rPr>
          <w:rFonts w:ascii="Arial" w:hAnsi="Arial" w:cs="Arial"/>
          <w:sz w:val="22"/>
          <w:szCs w:val="22"/>
        </w:rPr>
      </w:pPr>
    </w:p>
    <w:p w14:paraId="05974929" w14:textId="77777777" w:rsidR="00F70CED" w:rsidRDefault="00F70CED" w:rsidP="00F70CED">
      <w:pPr>
        <w:pStyle w:val="NormalWeb"/>
        <w:spacing w:before="0" w:beforeAutospacing="0" w:after="0" w:afterAutospacing="0"/>
        <w:jc w:val="center"/>
        <w:rPr>
          <w:rFonts w:ascii="Arial" w:hAnsi="Arial" w:cs="Arial"/>
          <w:sz w:val="22"/>
          <w:szCs w:val="22"/>
        </w:rPr>
      </w:pPr>
      <w:r w:rsidRPr="002B2EBA">
        <w:rPr>
          <w:rFonts w:ascii="Arial" w:hAnsi="Arial" w:cs="Arial"/>
          <w:noProof/>
          <w:sz w:val="22"/>
          <w:szCs w:val="22"/>
        </w:rPr>
        <w:drawing>
          <wp:inline distT="0" distB="0" distL="0" distR="0" wp14:anchorId="14DFEEE9" wp14:editId="6DDD0CA0">
            <wp:extent cx="5816600" cy="2957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23927" cy="2961320"/>
                    </a:xfrm>
                    <a:prstGeom prst="rect">
                      <a:avLst/>
                    </a:prstGeom>
                  </pic:spPr>
                </pic:pic>
              </a:graphicData>
            </a:graphic>
          </wp:inline>
        </w:drawing>
      </w:r>
    </w:p>
    <w:p w14:paraId="17DE6F6E" w14:textId="77777777" w:rsidR="00F70CED" w:rsidRPr="002127D6" w:rsidRDefault="00F70CED" w:rsidP="00F70CED">
      <w:pPr>
        <w:pStyle w:val="NormalWeb"/>
        <w:shd w:val="clear" w:color="auto" w:fill="FFFFFF" w:themeFill="background1"/>
        <w:spacing w:before="0" w:beforeAutospacing="0" w:after="0" w:afterAutospacing="0"/>
        <w:jc w:val="both"/>
        <w:rPr>
          <w:rFonts w:ascii="Arial" w:hAnsi="Arial" w:cs="Arial"/>
          <w:sz w:val="20"/>
          <w:szCs w:val="20"/>
        </w:rPr>
      </w:pPr>
      <w:r w:rsidRPr="00F70CED">
        <w:rPr>
          <w:rFonts w:ascii="Arial" w:hAnsi="Arial" w:cs="Arial"/>
          <w:b/>
          <w:sz w:val="20"/>
          <w:szCs w:val="20"/>
        </w:rPr>
        <w:t>Figure 1:</w:t>
      </w:r>
      <w:r w:rsidRPr="00F70CED">
        <w:rPr>
          <w:rFonts w:ascii="Arial" w:hAnsi="Arial" w:cs="Arial"/>
          <w:sz w:val="20"/>
          <w:szCs w:val="20"/>
        </w:rPr>
        <w:tab/>
      </w:r>
      <w:r w:rsidRPr="00F70CED">
        <w:rPr>
          <w:rFonts w:ascii="Arial" w:hAnsi="Arial" w:cs="Arial"/>
          <w:b/>
          <w:sz w:val="20"/>
          <w:szCs w:val="20"/>
        </w:rPr>
        <w:t>Distribution of locally acquired WNV infections by month in EU/EEA, 2015-2019 (Taken from ECDC West Nile virus, Annual Epidemiological Report for 2019)</w:t>
      </w:r>
    </w:p>
    <w:p w14:paraId="4B659804" w14:textId="77777777" w:rsidR="00F70CED" w:rsidRPr="00F70CED" w:rsidRDefault="00F70CED" w:rsidP="00F70CED">
      <w:pPr>
        <w:pStyle w:val="NormalWeb"/>
        <w:shd w:val="clear" w:color="auto" w:fill="FFFFFF" w:themeFill="background1"/>
        <w:jc w:val="both"/>
        <w:rPr>
          <w:rFonts w:ascii="Arial" w:hAnsi="Arial" w:cs="Arial"/>
          <w:color w:val="000000" w:themeColor="text1"/>
          <w:sz w:val="22"/>
          <w:szCs w:val="22"/>
        </w:rPr>
      </w:pPr>
      <w:r w:rsidRPr="00F70CED">
        <w:rPr>
          <w:rFonts w:ascii="Arial" w:hAnsi="Arial" w:cs="Arial"/>
          <w:color w:val="000000" w:themeColor="text1"/>
          <w:sz w:val="22"/>
          <w:szCs w:val="22"/>
        </w:rPr>
        <w:lastRenderedPageBreak/>
        <w:t>After a sharp increase in WNV infections in Europe in 2018 (a year in which infection numbers exceeded the total number from the previous seven years) numbers of reported WNV infections decreased again in 2019, 2020 and 2021 in most countries. The exceptions were Greece, where numbers remained high and Cypress which reported 23 locally acquire infections in 2019 (having only reported one infection in 2016 and 2018).</w:t>
      </w:r>
    </w:p>
    <w:p w14:paraId="1385AF1E" w14:textId="77777777" w:rsidR="00F70CED" w:rsidRPr="00F70CED" w:rsidRDefault="00F70CED" w:rsidP="00F70CED">
      <w:pPr>
        <w:pStyle w:val="NormalWeb"/>
        <w:shd w:val="clear" w:color="auto" w:fill="FFFFFF" w:themeFill="background1"/>
        <w:jc w:val="both"/>
        <w:rPr>
          <w:rFonts w:ascii="Arial" w:hAnsi="Arial" w:cs="Arial"/>
          <w:color w:val="000000" w:themeColor="text1"/>
          <w:sz w:val="22"/>
          <w:szCs w:val="22"/>
        </w:rPr>
      </w:pPr>
      <w:r w:rsidRPr="00F70CED">
        <w:rPr>
          <w:rFonts w:ascii="Arial" w:hAnsi="Arial" w:cs="Arial"/>
          <w:color w:val="000000" w:themeColor="text1"/>
          <w:sz w:val="22"/>
          <w:szCs w:val="22"/>
        </w:rPr>
        <w:t xml:space="preserve">Between 2018 and 2020, France, Slovakia, Germany, </w:t>
      </w:r>
      <w:proofErr w:type="gramStart"/>
      <w:r w:rsidRPr="00F70CED">
        <w:rPr>
          <w:rFonts w:ascii="Arial" w:hAnsi="Arial" w:cs="Arial"/>
          <w:color w:val="000000" w:themeColor="text1"/>
          <w:sz w:val="22"/>
          <w:szCs w:val="22"/>
        </w:rPr>
        <w:t>Spain</w:t>
      </w:r>
      <w:proofErr w:type="gramEnd"/>
      <w:r w:rsidRPr="00F70CED">
        <w:rPr>
          <w:rFonts w:ascii="Arial" w:hAnsi="Arial" w:cs="Arial"/>
          <w:color w:val="000000" w:themeColor="text1"/>
          <w:sz w:val="22"/>
          <w:szCs w:val="22"/>
        </w:rPr>
        <w:t xml:space="preserve"> and the Netherlands reported their first locally acquired WNV infections although overall number of cases reported in Europe in 2020 was down on previous years. In 2020, the first European WNV case was reported in June (disease onset in week 23, between 1 and 7 June) and the last case was reported in November (disease onset in week 43, 19 to 25 October).</w:t>
      </w:r>
    </w:p>
    <w:p w14:paraId="7E3FF1AA" w14:textId="2D0432B1" w:rsidR="00F70CED" w:rsidRPr="00F70CED" w:rsidRDefault="00F70CED" w:rsidP="00F70CED">
      <w:pPr>
        <w:pStyle w:val="NormalWeb"/>
        <w:shd w:val="clear" w:color="auto" w:fill="FFFFFF" w:themeFill="background1"/>
        <w:jc w:val="both"/>
        <w:rPr>
          <w:rFonts w:ascii="Arial" w:hAnsi="Arial" w:cs="Arial"/>
          <w:color w:val="000000" w:themeColor="text1"/>
          <w:sz w:val="22"/>
          <w:szCs w:val="22"/>
        </w:rPr>
      </w:pPr>
      <w:r w:rsidRPr="00F70CED">
        <w:rPr>
          <w:rFonts w:ascii="Arial" w:hAnsi="Arial" w:cs="Arial"/>
          <w:color w:val="000000" w:themeColor="text1"/>
          <w:sz w:val="22"/>
          <w:szCs w:val="22"/>
        </w:rPr>
        <w:t>Since the beginning of the 2021 transmission session and as of 14</w:t>
      </w:r>
      <w:r w:rsidRPr="00F70CED">
        <w:rPr>
          <w:rFonts w:ascii="Arial" w:hAnsi="Arial" w:cs="Arial"/>
          <w:color w:val="000000" w:themeColor="text1"/>
          <w:sz w:val="22"/>
          <w:szCs w:val="22"/>
          <w:vertAlign w:val="superscript"/>
        </w:rPr>
        <w:t>th</w:t>
      </w:r>
      <w:r w:rsidRPr="00F70CED">
        <w:rPr>
          <w:rFonts w:ascii="Arial" w:hAnsi="Arial" w:cs="Arial"/>
          <w:color w:val="000000" w:themeColor="text1"/>
          <w:sz w:val="22"/>
          <w:szCs w:val="22"/>
        </w:rPr>
        <w:t xml:space="preserve"> October 2021, EU/EEA countries have reported 132 human cases of WNV infection with most cases reported in Greece 943) and Italy (27). EU-neighbouring countries have reported 18 human cases of WNV infection in Serbia (18).</w:t>
      </w:r>
    </w:p>
    <w:p w14:paraId="762705E8" w14:textId="77777777" w:rsidR="00F70CED" w:rsidRPr="00241323"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 xml:space="preserve">In 2017, seven Austrian blood donors from Austria were reactive for WNV during blood screening. However, follow-up investigations revealed that six of these were in fact infected with a related virus, Usutu virus (USUV). Since </w:t>
      </w:r>
      <w:proofErr w:type="gramStart"/>
      <w:r w:rsidRPr="00241323">
        <w:rPr>
          <w:rFonts w:ascii="Arial" w:hAnsi="Arial" w:cs="Arial"/>
          <w:sz w:val="22"/>
          <w:szCs w:val="22"/>
        </w:rPr>
        <w:t>then</w:t>
      </w:r>
      <w:proofErr w:type="gramEnd"/>
      <w:r w:rsidRPr="00241323">
        <w:rPr>
          <w:rFonts w:ascii="Arial" w:hAnsi="Arial" w:cs="Arial"/>
          <w:sz w:val="22"/>
          <w:szCs w:val="22"/>
        </w:rPr>
        <w:t xml:space="preserve"> WNV blood donor screening/research studies have identified USUV infections in blood donors in Austria, Italy, Germany and the Netherlands.</w:t>
      </w:r>
    </w:p>
    <w:p w14:paraId="521A9EEC"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624FB77F" w14:textId="77777777" w:rsidR="00F70CED" w:rsidRPr="00241323" w:rsidRDefault="00F70CED" w:rsidP="00F70CED">
      <w:pPr>
        <w:pStyle w:val="NormalWeb"/>
        <w:spacing w:before="0" w:beforeAutospacing="0" w:after="0" w:afterAutospacing="0"/>
        <w:jc w:val="both"/>
        <w:rPr>
          <w:rFonts w:ascii="Arial" w:hAnsi="Arial" w:cs="Arial"/>
          <w:b/>
          <w:sz w:val="22"/>
          <w:szCs w:val="22"/>
          <w:u w:val="single"/>
        </w:rPr>
      </w:pPr>
      <w:r w:rsidRPr="00241323">
        <w:rPr>
          <w:rFonts w:ascii="Arial" w:hAnsi="Arial" w:cs="Arial"/>
          <w:b/>
          <w:sz w:val="22"/>
          <w:szCs w:val="22"/>
          <w:u w:val="single"/>
        </w:rPr>
        <w:t>Transmission through donated products</w:t>
      </w:r>
    </w:p>
    <w:p w14:paraId="273F7554"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4884EA76" w14:textId="77777777" w:rsidR="00F70CED"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 xml:space="preserve">During the 2002 epidemic in the USA 23 patients were confirmed to have acquired WNV through transfusion of red cells, </w:t>
      </w:r>
      <w:proofErr w:type="gramStart"/>
      <w:r w:rsidRPr="00241323">
        <w:rPr>
          <w:rFonts w:ascii="Arial" w:hAnsi="Arial" w:cs="Arial"/>
          <w:sz w:val="22"/>
          <w:szCs w:val="22"/>
        </w:rPr>
        <w:t>platelets</w:t>
      </w:r>
      <w:proofErr w:type="gramEnd"/>
      <w:r w:rsidRPr="00241323">
        <w:rPr>
          <w:rFonts w:ascii="Arial" w:hAnsi="Arial" w:cs="Arial"/>
          <w:sz w:val="22"/>
          <w:szCs w:val="22"/>
        </w:rPr>
        <w:t xml:space="preserve"> or fresh frozen plasma. A case of transfusion-transmitted WNV infection from an MP-NAT non-reactive donation collected just before triggering conversion to ID-NAT was reported in the US in 2016. This was deemed a rare event recognised once in 84 million donations.</w:t>
      </w:r>
      <w:r>
        <w:rPr>
          <w:rFonts w:ascii="Arial" w:hAnsi="Arial" w:cs="Arial"/>
          <w:sz w:val="22"/>
          <w:szCs w:val="22"/>
        </w:rPr>
        <w:t xml:space="preserve"> </w:t>
      </w:r>
    </w:p>
    <w:p w14:paraId="2E238DA1" w14:textId="77777777" w:rsidR="00F70CED" w:rsidRDefault="00F70CED" w:rsidP="00F70CED">
      <w:pPr>
        <w:pStyle w:val="NormalWeb"/>
        <w:spacing w:before="0" w:beforeAutospacing="0" w:after="0" w:afterAutospacing="0"/>
        <w:jc w:val="both"/>
        <w:rPr>
          <w:rFonts w:ascii="Arial" w:hAnsi="Arial" w:cs="Arial"/>
          <w:sz w:val="22"/>
          <w:szCs w:val="22"/>
        </w:rPr>
      </w:pPr>
    </w:p>
    <w:p w14:paraId="24FD2E62" w14:textId="77777777" w:rsidR="00F70CED" w:rsidRDefault="00F70CED" w:rsidP="00F70CED">
      <w:pPr>
        <w:pStyle w:val="NormalWeb"/>
        <w:shd w:val="clear" w:color="auto" w:fill="FFFFFF" w:themeFill="background1"/>
        <w:spacing w:before="0" w:beforeAutospacing="0" w:after="0" w:afterAutospacing="0"/>
        <w:jc w:val="both"/>
        <w:rPr>
          <w:rFonts w:ascii="Arial" w:hAnsi="Arial" w:cs="Arial"/>
          <w:sz w:val="22"/>
          <w:szCs w:val="22"/>
        </w:rPr>
      </w:pPr>
      <w:r w:rsidRPr="00F70CED">
        <w:rPr>
          <w:rFonts w:ascii="Arial" w:hAnsi="Arial" w:cs="Arial"/>
          <w:sz w:val="22"/>
          <w:szCs w:val="22"/>
        </w:rPr>
        <w:t xml:space="preserve">A European risk model (EUFRAT) allows the calculation of an estimated number of infected blood products (throughout Europe) from donors that were infected whilst travelling to outbreak-affected areas in Europe. Even using data from the year of highest incidence (2018) it was estimated that non-compliance to European regulations (donor testing or deferral) would have resulted in 7.4 (95% CI 4.7 -11.1) infected blood components from infected travelling donors </w:t>
      </w:r>
      <w:r w:rsidRPr="00F70CED">
        <w:rPr>
          <w:rFonts w:ascii="Arial" w:hAnsi="Arial" w:cs="Arial"/>
          <w:sz w:val="22"/>
          <w:szCs w:val="22"/>
          <w:u w:val="single"/>
        </w:rPr>
        <w:t>throughout Europe</w:t>
      </w:r>
      <w:r w:rsidRPr="00F70CED">
        <w:rPr>
          <w:rFonts w:ascii="Arial" w:hAnsi="Arial" w:cs="Arial"/>
          <w:sz w:val="22"/>
          <w:szCs w:val="22"/>
        </w:rPr>
        <w:t xml:space="preserve"> (Garzon Jimenez et al., 2021). Therefore, the risk of transmission through infected blood components in the UK from travelling donors is extremely low. The risk of WNV transmission by a local outbreak was two orders of magnitude higher (113 times) than transmission by travelling donors.</w:t>
      </w:r>
      <w:r>
        <w:rPr>
          <w:rFonts w:ascii="Arial" w:hAnsi="Arial" w:cs="Arial"/>
          <w:sz w:val="22"/>
          <w:szCs w:val="22"/>
        </w:rPr>
        <w:t xml:space="preserve"> </w:t>
      </w:r>
    </w:p>
    <w:p w14:paraId="1FE937BA" w14:textId="77777777" w:rsidR="00F70CED" w:rsidRDefault="00F70CED" w:rsidP="00F70CED">
      <w:pPr>
        <w:pStyle w:val="NormalWeb"/>
        <w:spacing w:before="0" w:beforeAutospacing="0" w:after="0" w:afterAutospacing="0"/>
        <w:jc w:val="both"/>
        <w:rPr>
          <w:rFonts w:ascii="Arial" w:hAnsi="Arial" w:cs="Arial"/>
          <w:sz w:val="22"/>
          <w:szCs w:val="22"/>
        </w:rPr>
      </w:pPr>
    </w:p>
    <w:p w14:paraId="510B910B" w14:textId="77777777" w:rsidR="00F70CED" w:rsidRPr="00241323"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Transmission has also been reported following organ transplantation from a donor who initially acquired the infection through a blood transfusion. Several reports indicate that WNV transmission through solid organ transplantation can occur from donors who are seropositive for WNV (IgM and IgG antibodies) and WNV NAT negative</w:t>
      </w:r>
      <w:r w:rsidRPr="00241323">
        <w:rPr>
          <w:rFonts w:ascii="Arial" w:hAnsi="Arial" w:cs="Arial"/>
          <w:sz w:val="22"/>
          <w:szCs w:val="22"/>
          <w:vertAlign w:val="superscript"/>
        </w:rPr>
        <w:t xml:space="preserve"> </w:t>
      </w:r>
      <w:r w:rsidRPr="00241323">
        <w:rPr>
          <w:rFonts w:ascii="Arial" w:hAnsi="Arial" w:cs="Arial"/>
          <w:sz w:val="22"/>
          <w:szCs w:val="22"/>
        </w:rPr>
        <w:t xml:space="preserve">but there had been no such reports </w:t>
      </w:r>
      <w:r w:rsidRPr="00241323">
        <w:rPr>
          <w:rFonts w:ascii="Arial" w:hAnsi="Arial" w:cs="Arial"/>
          <w:sz w:val="22"/>
          <w:szCs w:val="22"/>
        </w:rPr>
        <w:lastRenderedPageBreak/>
        <w:t>of transmission from blood donations. In general, the risk of transmission by transfusion relates to a few days of viraemia starting 1-3 days after infection</w:t>
      </w:r>
      <w:r>
        <w:rPr>
          <w:rFonts w:ascii="Arial" w:hAnsi="Arial" w:cs="Arial"/>
          <w:sz w:val="22"/>
          <w:szCs w:val="22"/>
        </w:rPr>
        <w:t xml:space="preserve">. </w:t>
      </w:r>
      <w:r w:rsidRPr="00241323">
        <w:rPr>
          <w:rFonts w:ascii="Arial" w:hAnsi="Arial" w:cs="Arial"/>
          <w:sz w:val="22"/>
          <w:szCs w:val="22"/>
        </w:rPr>
        <w:t xml:space="preserve">Viraemia lasts a mean of 6 days although can take up to 104 days to clear. </w:t>
      </w:r>
    </w:p>
    <w:p w14:paraId="43C82EDC" w14:textId="77777777" w:rsidR="00F70CED" w:rsidRPr="00241323" w:rsidRDefault="00F70CED" w:rsidP="00F70CED">
      <w:pPr>
        <w:pStyle w:val="NormalWeb"/>
        <w:spacing w:before="0" w:beforeAutospacing="0" w:after="0" w:afterAutospacing="0"/>
        <w:jc w:val="both"/>
        <w:rPr>
          <w:rFonts w:ascii="Arial" w:hAnsi="Arial" w:cs="Arial"/>
          <w:b/>
          <w:sz w:val="22"/>
          <w:szCs w:val="22"/>
          <w:u w:val="single"/>
        </w:rPr>
      </w:pPr>
    </w:p>
    <w:p w14:paraId="71BA7BEB" w14:textId="77777777" w:rsidR="00F70CED" w:rsidRPr="00241323" w:rsidRDefault="00F70CED" w:rsidP="00F70CED">
      <w:pPr>
        <w:pStyle w:val="NormalWeb"/>
        <w:spacing w:before="0" w:beforeAutospacing="0" w:after="0" w:afterAutospacing="0"/>
        <w:jc w:val="both"/>
        <w:rPr>
          <w:rFonts w:ascii="Arial" w:hAnsi="Arial" w:cs="Arial"/>
          <w:b/>
          <w:sz w:val="22"/>
          <w:szCs w:val="22"/>
          <w:u w:val="single"/>
        </w:rPr>
      </w:pPr>
      <w:r w:rsidRPr="00241323">
        <w:rPr>
          <w:rFonts w:ascii="Arial" w:hAnsi="Arial" w:cs="Arial"/>
          <w:b/>
          <w:sz w:val="22"/>
          <w:szCs w:val="22"/>
          <w:u w:val="single"/>
        </w:rPr>
        <w:t>WNV in the UK</w:t>
      </w:r>
    </w:p>
    <w:p w14:paraId="1A30E9F3" w14:textId="77777777" w:rsidR="00F70CED" w:rsidRPr="00241323" w:rsidRDefault="00F70CED" w:rsidP="00F70CED">
      <w:pPr>
        <w:jc w:val="both"/>
        <w:rPr>
          <w:rFonts w:ascii="Arial" w:hAnsi="Arial" w:cs="Arial"/>
          <w:sz w:val="22"/>
          <w:szCs w:val="22"/>
        </w:rPr>
      </w:pPr>
    </w:p>
    <w:p w14:paraId="618BC141" w14:textId="77777777" w:rsidR="00F70CED" w:rsidRPr="00BF7838" w:rsidRDefault="00F70CED" w:rsidP="00F70CED">
      <w:pPr>
        <w:jc w:val="both"/>
        <w:rPr>
          <w:rFonts w:ascii="Arial" w:hAnsi="Arial" w:cs="Arial"/>
          <w:sz w:val="22"/>
          <w:szCs w:val="22"/>
        </w:rPr>
      </w:pPr>
      <w:r w:rsidRPr="00241323">
        <w:rPr>
          <w:rFonts w:ascii="Arial" w:hAnsi="Arial" w:cs="Arial"/>
          <w:sz w:val="22"/>
          <w:szCs w:val="22"/>
        </w:rPr>
        <w:t>There have been several human WNV cases reported in the UK. In 2006 a member of the armed forces stationed in Canada was diagnosed with WNV infection on his return to the UK and in 2007 a Canadian resident became ill when visiting the UK. The first two cases of imported WNV in Scotland were reported in 2014, both from endemic countries outside the EU. In 2017, one case of WNV was imported into the UK (out of South Africa), four in 2018 (out of Hungary and North America) and one case in 2019.</w:t>
      </w:r>
      <w:r>
        <w:rPr>
          <w:rFonts w:ascii="Arial" w:hAnsi="Arial" w:cs="Arial"/>
          <w:sz w:val="22"/>
          <w:szCs w:val="22"/>
        </w:rPr>
        <w:t xml:space="preserve"> </w:t>
      </w:r>
      <w:r w:rsidRPr="00F70CED">
        <w:rPr>
          <w:rFonts w:ascii="Arial" w:hAnsi="Arial" w:cs="Arial"/>
          <w:sz w:val="22"/>
          <w:szCs w:val="22"/>
          <w:shd w:val="clear" w:color="auto" w:fill="FFFFFF" w:themeFill="background1"/>
        </w:rPr>
        <w:t xml:space="preserve">No indigenous cases of WNV have been reported in the UK (HAIRS risk assessment, accessible at: </w:t>
      </w:r>
      <w:hyperlink r:id="rId9" w:history="1">
        <w:r w:rsidRPr="00F70CED">
          <w:rPr>
            <w:rStyle w:val="Hyperlink"/>
            <w:sz w:val="22"/>
            <w:szCs w:val="22"/>
            <w:shd w:val="clear" w:color="auto" w:fill="FFFFFF" w:themeFill="background1"/>
          </w:rPr>
          <w:t>Qualitative assessment of risk West Nile virus presents to UK health (publishing.service.gov.uk)</w:t>
        </w:r>
      </w:hyperlink>
    </w:p>
    <w:p w14:paraId="4981BA5F" w14:textId="77777777" w:rsidR="00F70CED" w:rsidRPr="00241323" w:rsidRDefault="00F70CED" w:rsidP="00F70CED">
      <w:pPr>
        <w:pStyle w:val="NormalWeb"/>
        <w:jc w:val="both"/>
        <w:rPr>
          <w:rFonts w:ascii="Arial" w:hAnsi="Arial" w:cs="Arial"/>
          <w:sz w:val="22"/>
          <w:szCs w:val="22"/>
        </w:rPr>
      </w:pPr>
      <w:r w:rsidRPr="00241323">
        <w:rPr>
          <w:rFonts w:ascii="Arial" w:hAnsi="Arial" w:cs="Arial"/>
          <w:sz w:val="22"/>
          <w:szCs w:val="22"/>
        </w:rPr>
        <w:t xml:space="preserve">In 2010 the mosquito </w:t>
      </w:r>
      <w:r w:rsidRPr="00241323">
        <w:rPr>
          <w:rFonts w:ascii="Arial" w:hAnsi="Arial" w:cs="Arial"/>
          <w:i/>
          <w:sz w:val="22"/>
          <w:szCs w:val="22"/>
        </w:rPr>
        <w:t xml:space="preserve">Culex </w:t>
      </w:r>
      <w:proofErr w:type="spellStart"/>
      <w:r w:rsidRPr="00241323">
        <w:rPr>
          <w:rFonts w:ascii="Arial" w:hAnsi="Arial" w:cs="Arial"/>
          <w:i/>
          <w:sz w:val="22"/>
          <w:szCs w:val="22"/>
        </w:rPr>
        <w:t>modestus</w:t>
      </w:r>
      <w:proofErr w:type="spellEnd"/>
      <w:r w:rsidRPr="00241323">
        <w:rPr>
          <w:rFonts w:ascii="Arial" w:hAnsi="Arial" w:cs="Arial"/>
          <w:i/>
          <w:sz w:val="22"/>
          <w:szCs w:val="22"/>
        </w:rPr>
        <w:t>,</w:t>
      </w:r>
      <w:r w:rsidRPr="00241323">
        <w:rPr>
          <w:rFonts w:ascii="Arial" w:hAnsi="Arial" w:cs="Arial"/>
          <w:sz w:val="22"/>
          <w:szCs w:val="22"/>
        </w:rPr>
        <w:t xml:space="preserve"> largely responsible for transmission of WNV between birds, </w:t>
      </w:r>
      <w:proofErr w:type="gramStart"/>
      <w:r w:rsidRPr="00241323">
        <w:rPr>
          <w:rFonts w:ascii="Arial" w:hAnsi="Arial" w:cs="Arial"/>
          <w:sz w:val="22"/>
          <w:szCs w:val="22"/>
        </w:rPr>
        <w:t>horses</w:t>
      </w:r>
      <w:proofErr w:type="gramEnd"/>
      <w:r w:rsidRPr="00241323">
        <w:rPr>
          <w:rFonts w:ascii="Arial" w:hAnsi="Arial" w:cs="Arial"/>
          <w:sz w:val="22"/>
          <w:szCs w:val="22"/>
        </w:rPr>
        <w:t xml:space="preserve"> and humans, in Southern Europe, was reported in the UK. The map below shows where these mosquitoes have been detected. To date </w:t>
      </w:r>
      <w:r w:rsidRPr="00241323">
        <w:rPr>
          <w:rFonts w:ascii="Arial" w:hAnsi="Arial" w:cs="Arial"/>
          <w:i/>
          <w:sz w:val="22"/>
          <w:szCs w:val="22"/>
        </w:rPr>
        <w:t xml:space="preserve">C. </w:t>
      </w:r>
      <w:proofErr w:type="spellStart"/>
      <w:r w:rsidRPr="00241323">
        <w:rPr>
          <w:rFonts w:ascii="Arial" w:hAnsi="Arial" w:cs="Arial"/>
          <w:i/>
          <w:sz w:val="22"/>
          <w:szCs w:val="22"/>
        </w:rPr>
        <w:t>modestus</w:t>
      </w:r>
      <w:proofErr w:type="spellEnd"/>
      <w:r w:rsidRPr="00241323">
        <w:rPr>
          <w:rFonts w:ascii="Arial" w:hAnsi="Arial" w:cs="Arial"/>
          <w:sz w:val="22"/>
          <w:szCs w:val="22"/>
        </w:rPr>
        <w:t xml:space="preserve"> has not been detected elsewhere in England.</w:t>
      </w:r>
    </w:p>
    <w:p w14:paraId="10D7AD99" w14:textId="77777777" w:rsidR="00F70CED" w:rsidRPr="00241323" w:rsidRDefault="00F70CED" w:rsidP="00F70CED">
      <w:r w:rsidRPr="00241323">
        <w:rPr>
          <w:noProof/>
        </w:rPr>
        <w:drawing>
          <wp:inline distT="0" distB="0" distL="0" distR="0" wp14:anchorId="543A47DE" wp14:editId="5AE3DF4C">
            <wp:extent cx="4643438" cy="3095625"/>
            <wp:effectExtent l="19050" t="0" r="4762" b="0"/>
            <wp:docPr id="2" name="Picture 1" descr="Map showing known distribution of Culex modestus mosquitoes in south-eas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showing known distribution of Culex modestus mosquitoes in south-east England"/>
                    <pic:cNvPicPr>
                      <a:picLocks noChangeAspect="1" noChangeArrowheads="1"/>
                    </pic:cNvPicPr>
                  </pic:nvPicPr>
                  <pic:blipFill>
                    <a:blip r:embed="rId10" cstate="print"/>
                    <a:srcRect/>
                    <a:stretch>
                      <a:fillRect/>
                    </a:stretch>
                  </pic:blipFill>
                  <pic:spPr bwMode="auto">
                    <a:xfrm>
                      <a:off x="0" y="0"/>
                      <a:ext cx="4647823" cy="3098548"/>
                    </a:xfrm>
                    <a:prstGeom prst="rect">
                      <a:avLst/>
                    </a:prstGeom>
                    <a:noFill/>
                    <a:ln w="9525">
                      <a:noFill/>
                      <a:miter lim="800000"/>
                      <a:headEnd/>
                      <a:tailEnd/>
                    </a:ln>
                  </pic:spPr>
                </pic:pic>
              </a:graphicData>
            </a:graphic>
          </wp:inline>
        </w:drawing>
      </w:r>
    </w:p>
    <w:p w14:paraId="3D2B8D51" w14:textId="77777777" w:rsidR="00F70CED" w:rsidRPr="00241323" w:rsidRDefault="00F70CED" w:rsidP="00F70CED">
      <w:pPr>
        <w:jc w:val="both"/>
        <w:rPr>
          <w:rFonts w:ascii="Arial" w:hAnsi="Arial" w:cs="Arial"/>
          <w:sz w:val="22"/>
          <w:szCs w:val="22"/>
        </w:rPr>
      </w:pPr>
      <w:r>
        <w:rPr>
          <w:rFonts w:ascii="Arial" w:hAnsi="Arial" w:cs="Arial"/>
          <w:sz w:val="22"/>
          <w:szCs w:val="22"/>
        </w:rPr>
        <w:t xml:space="preserve">Figure 2: </w:t>
      </w:r>
      <w:r w:rsidRPr="00241323">
        <w:rPr>
          <w:rFonts w:ascii="Arial" w:hAnsi="Arial" w:cs="Arial"/>
          <w:sz w:val="22"/>
          <w:szCs w:val="22"/>
        </w:rPr>
        <w:t xml:space="preserve">Map showing known distribution of </w:t>
      </w:r>
      <w:r w:rsidRPr="002127D6">
        <w:rPr>
          <w:rFonts w:ascii="Arial" w:hAnsi="Arial" w:cs="Arial"/>
          <w:i/>
          <w:sz w:val="22"/>
          <w:szCs w:val="22"/>
        </w:rPr>
        <w:t xml:space="preserve">Culex </w:t>
      </w:r>
      <w:proofErr w:type="spellStart"/>
      <w:r w:rsidRPr="002127D6">
        <w:rPr>
          <w:rFonts w:ascii="Arial" w:hAnsi="Arial" w:cs="Arial"/>
          <w:i/>
          <w:sz w:val="22"/>
          <w:szCs w:val="22"/>
        </w:rPr>
        <w:t>modestus</w:t>
      </w:r>
      <w:proofErr w:type="spellEnd"/>
      <w:r w:rsidRPr="00241323">
        <w:rPr>
          <w:rFonts w:ascii="Arial" w:hAnsi="Arial" w:cs="Arial"/>
          <w:sz w:val="22"/>
          <w:szCs w:val="22"/>
        </w:rPr>
        <w:t xml:space="preserve"> mosquitoes in south-east England</w:t>
      </w:r>
      <w:r w:rsidRPr="002127D6">
        <w:rPr>
          <w:rFonts w:ascii="Arial" w:hAnsi="Arial" w:cs="Arial"/>
          <w:sz w:val="22"/>
          <w:szCs w:val="22"/>
        </w:rPr>
        <w:t xml:space="preserve"> accessible at: </w:t>
      </w:r>
      <w:hyperlink r:id="rId11" w:history="1">
        <w:r w:rsidRPr="002127D6">
          <w:rPr>
            <w:rStyle w:val="Hyperlink"/>
            <w:sz w:val="22"/>
            <w:szCs w:val="22"/>
          </w:rPr>
          <w:t>West Nile virus: epidemiology, diagnosis and prevention - GOV.UK (www.gov.uk)</w:t>
        </w:r>
      </w:hyperlink>
    </w:p>
    <w:p w14:paraId="4AD921E2"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06F5C38E" w14:textId="77777777" w:rsidR="00F70CED" w:rsidRPr="00241323"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lastRenderedPageBreak/>
        <w:t xml:space="preserve">Since the UK Blood Transfusion Services implementation of WNV NAT testing for blood donors with relevant travel history (2012-2013), no donors have been found to be positive for WNV RNA (more than </w:t>
      </w:r>
      <w:r w:rsidRPr="002127D6">
        <w:rPr>
          <w:rFonts w:ascii="Arial" w:hAnsi="Arial" w:cs="Arial"/>
          <w:sz w:val="22"/>
          <w:szCs w:val="22"/>
          <w:shd w:val="clear" w:color="auto" w:fill="D9D9D9" w:themeFill="background1" w:themeFillShade="D9"/>
        </w:rPr>
        <w:t>296 000</w:t>
      </w:r>
      <w:r w:rsidRPr="00241323">
        <w:rPr>
          <w:rFonts w:ascii="Arial" w:hAnsi="Arial" w:cs="Arial"/>
          <w:sz w:val="22"/>
          <w:szCs w:val="22"/>
        </w:rPr>
        <w:t xml:space="preserve"> donors tested).</w:t>
      </w:r>
    </w:p>
    <w:p w14:paraId="1D5BDA02" w14:textId="77777777" w:rsidR="00F70CED" w:rsidRDefault="00F70CED" w:rsidP="00F70CED">
      <w:pPr>
        <w:pStyle w:val="NormalWeb"/>
        <w:spacing w:before="0" w:beforeAutospacing="0" w:after="0" w:afterAutospacing="0"/>
        <w:jc w:val="both"/>
        <w:rPr>
          <w:rFonts w:ascii="Arial" w:hAnsi="Arial" w:cs="Arial"/>
          <w:b/>
          <w:sz w:val="22"/>
          <w:szCs w:val="22"/>
          <w:u w:val="single"/>
        </w:rPr>
      </w:pPr>
    </w:p>
    <w:p w14:paraId="67C733C6" w14:textId="77777777" w:rsidR="00F70CED" w:rsidRPr="00241323" w:rsidRDefault="00F70CED" w:rsidP="00F70CED">
      <w:pPr>
        <w:pStyle w:val="NormalWeb"/>
        <w:spacing w:before="0" w:beforeAutospacing="0" w:after="0" w:afterAutospacing="0"/>
        <w:jc w:val="both"/>
        <w:rPr>
          <w:rFonts w:ascii="Arial" w:hAnsi="Arial" w:cs="Arial"/>
          <w:b/>
          <w:sz w:val="22"/>
          <w:szCs w:val="22"/>
          <w:u w:val="single"/>
        </w:rPr>
      </w:pPr>
    </w:p>
    <w:p w14:paraId="601A23D8" w14:textId="77777777" w:rsidR="00F70CED" w:rsidRPr="00241323" w:rsidRDefault="00F70CED" w:rsidP="00F70CED">
      <w:pPr>
        <w:pStyle w:val="NormalWeb"/>
        <w:spacing w:before="0" w:beforeAutospacing="0" w:after="0" w:afterAutospacing="0"/>
        <w:jc w:val="both"/>
        <w:rPr>
          <w:rFonts w:ascii="Arial" w:hAnsi="Arial" w:cs="Arial"/>
          <w:u w:val="single"/>
        </w:rPr>
      </w:pPr>
      <w:r w:rsidRPr="00241323">
        <w:rPr>
          <w:rFonts w:ascii="Arial" w:hAnsi="Arial" w:cs="Arial"/>
          <w:b/>
          <w:u w:val="single"/>
        </w:rPr>
        <w:t>UK Blood Transfusion Services WNV risk reduction strategies</w:t>
      </w:r>
      <w:r w:rsidRPr="00241323">
        <w:rPr>
          <w:rFonts w:ascii="Arial" w:hAnsi="Arial" w:cs="Arial"/>
          <w:u w:val="single"/>
        </w:rPr>
        <w:t xml:space="preserve"> </w:t>
      </w:r>
    </w:p>
    <w:p w14:paraId="65DE0B67" w14:textId="77777777" w:rsidR="00F70CED" w:rsidRPr="00241323" w:rsidRDefault="00F70CED" w:rsidP="00F70CED">
      <w:pPr>
        <w:jc w:val="both"/>
        <w:rPr>
          <w:rFonts w:ascii="Arial" w:hAnsi="Arial" w:cs="Arial"/>
          <w:sz w:val="22"/>
          <w:szCs w:val="22"/>
        </w:rPr>
      </w:pPr>
    </w:p>
    <w:p w14:paraId="12686AE1" w14:textId="77777777" w:rsidR="00F70CED" w:rsidRPr="00241323" w:rsidRDefault="00F70CED" w:rsidP="00F70CED">
      <w:pPr>
        <w:jc w:val="both"/>
        <w:rPr>
          <w:rFonts w:ascii="Arial" w:hAnsi="Arial" w:cs="Arial"/>
          <w:sz w:val="22"/>
          <w:szCs w:val="22"/>
        </w:rPr>
      </w:pPr>
      <w:r w:rsidRPr="00241323">
        <w:rPr>
          <w:rFonts w:ascii="Arial" w:hAnsi="Arial" w:cs="Arial"/>
          <w:sz w:val="22"/>
          <w:szCs w:val="22"/>
        </w:rPr>
        <w:t xml:space="preserve">The EU Blood Safety Directive (and the Blood Safety and Quality Regulations) requires that travellers from an area with ongoing transmission of WNV in humans should be deferred for 28 days. Originally there was no provision within the Directive for WNV NAT testing in place of deferral, as a strategy for travellers returning from an affected area. The directive became UK statutory law as the Blood Safety and Quality Regulations 2005. Thereafter UK Blood Transfusion Services deferred travellers returning from areas at risk* of WNV. In 2012 a review of the "WNV Preparedness Plan" agreed that WNV NAT testing could be applied by blood establishments in non-affected areas to donations from travellers returning within 28 days from an affected </w:t>
      </w:r>
      <w:proofErr w:type="gramStart"/>
      <w:r w:rsidRPr="00241323">
        <w:rPr>
          <w:rFonts w:ascii="Arial" w:hAnsi="Arial" w:cs="Arial"/>
          <w:sz w:val="22"/>
          <w:szCs w:val="22"/>
        </w:rPr>
        <w:t>area, if</w:t>
      </w:r>
      <w:proofErr w:type="gramEnd"/>
      <w:r w:rsidRPr="00241323">
        <w:rPr>
          <w:rFonts w:ascii="Arial" w:hAnsi="Arial" w:cs="Arial"/>
          <w:sz w:val="22"/>
          <w:szCs w:val="22"/>
        </w:rPr>
        <w:t xml:space="preserve"> donor deferral would threaten the sufficiency of the blood supply. A 2014 amendment to the EU Blood Safety Directive supported this stance. </w:t>
      </w:r>
      <w:bookmarkStart w:id="0" w:name="_MON_1496741979"/>
      <w:bookmarkStart w:id="1" w:name="_MON_1496741984"/>
      <w:bookmarkEnd w:id="0"/>
      <w:bookmarkEnd w:id="1"/>
    </w:p>
    <w:p w14:paraId="4AD8E1E6" w14:textId="77777777" w:rsidR="00F70CED" w:rsidRPr="00241323" w:rsidRDefault="00F70CED" w:rsidP="00F70CED">
      <w:pPr>
        <w:pStyle w:val="NormalWeb"/>
        <w:spacing w:before="0" w:beforeAutospacing="0" w:after="0" w:afterAutospacing="0"/>
        <w:jc w:val="both"/>
        <w:rPr>
          <w:rStyle w:val="Strong"/>
          <w:rFonts w:ascii="Arial" w:hAnsi="Arial" w:cs="Arial"/>
          <w:b w:val="0"/>
          <w:sz w:val="22"/>
          <w:szCs w:val="22"/>
        </w:rPr>
      </w:pPr>
    </w:p>
    <w:p w14:paraId="7D5F1C2D" w14:textId="77777777" w:rsidR="00F70CED" w:rsidRPr="00241323" w:rsidRDefault="00F70CED" w:rsidP="00F70CED">
      <w:pPr>
        <w:pStyle w:val="NormalWeb"/>
        <w:spacing w:before="0" w:beforeAutospacing="0" w:after="0" w:afterAutospacing="0"/>
        <w:jc w:val="both"/>
        <w:rPr>
          <w:rFonts w:ascii="Arial" w:hAnsi="Arial" w:cs="Arial"/>
          <w:sz w:val="22"/>
          <w:szCs w:val="22"/>
        </w:rPr>
      </w:pPr>
      <w:r w:rsidRPr="00241323">
        <w:rPr>
          <w:rStyle w:val="Strong"/>
          <w:rFonts w:ascii="Arial" w:hAnsi="Arial" w:cs="Arial"/>
          <w:b w:val="0"/>
          <w:sz w:val="22"/>
          <w:szCs w:val="22"/>
        </w:rPr>
        <w:t xml:space="preserve">*A WNV risk </w:t>
      </w:r>
      <w:r w:rsidRPr="00241323">
        <w:rPr>
          <w:rFonts w:ascii="Arial" w:hAnsi="Arial" w:cs="Arial"/>
          <w:sz w:val="22"/>
          <w:szCs w:val="22"/>
        </w:rPr>
        <w:t>area is defined as:</w:t>
      </w:r>
    </w:p>
    <w:p w14:paraId="44C8F291"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6C0E8734" w14:textId="77777777" w:rsidR="00F70CED" w:rsidRPr="00241323" w:rsidRDefault="00F70CED" w:rsidP="00F70CED">
      <w:pPr>
        <w:numPr>
          <w:ilvl w:val="0"/>
          <w:numId w:val="5"/>
        </w:numPr>
        <w:tabs>
          <w:tab w:val="clear" w:pos="720"/>
          <w:tab w:val="num" w:pos="426"/>
        </w:tabs>
        <w:ind w:left="0" w:firstLine="0"/>
        <w:jc w:val="both"/>
        <w:rPr>
          <w:rFonts w:ascii="Arial" w:hAnsi="Arial" w:cs="Arial"/>
          <w:sz w:val="22"/>
          <w:szCs w:val="22"/>
        </w:rPr>
      </w:pPr>
      <w:r w:rsidRPr="00241323">
        <w:rPr>
          <w:rFonts w:ascii="Arial" w:hAnsi="Arial" w:cs="Arial"/>
          <w:sz w:val="22"/>
          <w:szCs w:val="22"/>
        </w:rPr>
        <w:t>any part of North America (USA and Canada) or any other area with ongoing transmission of WNV ("affected area") that does not attract a malaria travel deferral of 4 months and which meets the definition accepted by the European Commission/ European Centre for Disease Control.</w:t>
      </w:r>
    </w:p>
    <w:p w14:paraId="0465D0A1" w14:textId="77777777" w:rsidR="00F70CED" w:rsidRPr="00241323" w:rsidRDefault="00F70CED" w:rsidP="00F70CED">
      <w:pPr>
        <w:tabs>
          <w:tab w:val="left" w:pos="426"/>
        </w:tabs>
        <w:jc w:val="both"/>
        <w:rPr>
          <w:rFonts w:ascii="Arial" w:hAnsi="Arial" w:cs="Arial"/>
          <w:sz w:val="22"/>
          <w:szCs w:val="22"/>
        </w:rPr>
      </w:pPr>
    </w:p>
    <w:p w14:paraId="510151FB" w14:textId="77777777" w:rsidR="00F70CED" w:rsidRPr="00241323" w:rsidRDefault="00F70CED" w:rsidP="00F70CED">
      <w:pPr>
        <w:tabs>
          <w:tab w:val="left" w:pos="0"/>
        </w:tabs>
        <w:jc w:val="both"/>
        <w:rPr>
          <w:rFonts w:ascii="Arial" w:hAnsi="Arial" w:cs="Arial"/>
          <w:sz w:val="22"/>
          <w:szCs w:val="22"/>
        </w:rPr>
      </w:pPr>
      <w:r w:rsidRPr="00241323">
        <w:rPr>
          <w:rFonts w:ascii="Arial" w:hAnsi="Arial" w:cs="Arial"/>
          <w:sz w:val="22"/>
          <w:szCs w:val="22"/>
        </w:rPr>
        <w:t>The WNV risk period is defined as:</w:t>
      </w:r>
    </w:p>
    <w:p w14:paraId="3AB2EB71" w14:textId="77777777" w:rsidR="00F70CED" w:rsidRPr="00241323" w:rsidRDefault="00F70CED" w:rsidP="00F70CED">
      <w:pPr>
        <w:tabs>
          <w:tab w:val="left" w:pos="0"/>
        </w:tabs>
        <w:jc w:val="both"/>
        <w:rPr>
          <w:rFonts w:ascii="Arial" w:hAnsi="Arial" w:cs="Arial"/>
          <w:sz w:val="22"/>
          <w:szCs w:val="22"/>
        </w:rPr>
      </w:pPr>
    </w:p>
    <w:p w14:paraId="7CFF1F0B" w14:textId="77777777" w:rsidR="00F70CED" w:rsidRPr="00241323" w:rsidRDefault="00F70CED" w:rsidP="00F70CED">
      <w:pPr>
        <w:numPr>
          <w:ilvl w:val="0"/>
          <w:numId w:val="6"/>
        </w:numPr>
        <w:tabs>
          <w:tab w:val="left" w:pos="426"/>
        </w:tabs>
        <w:ind w:left="0" w:firstLine="0"/>
        <w:jc w:val="both"/>
        <w:rPr>
          <w:rFonts w:ascii="Arial" w:hAnsi="Arial" w:cs="Arial"/>
          <w:sz w:val="22"/>
          <w:szCs w:val="22"/>
        </w:rPr>
      </w:pPr>
      <w:r w:rsidRPr="00241323">
        <w:rPr>
          <w:rFonts w:ascii="Arial" w:hAnsi="Arial" w:cs="Arial"/>
          <w:sz w:val="22"/>
          <w:szCs w:val="22"/>
        </w:rPr>
        <w:t>between 1</w:t>
      </w:r>
      <w:r w:rsidRPr="00241323">
        <w:rPr>
          <w:rFonts w:ascii="Arial" w:hAnsi="Arial" w:cs="Arial"/>
          <w:sz w:val="22"/>
          <w:szCs w:val="22"/>
          <w:vertAlign w:val="superscript"/>
        </w:rPr>
        <w:t>st</w:t>
      </w:r>
      <w:r w:rsidRPr="00241323">
        <w:rPr>
          <w:rFonts w:ascii="Arial" w:hAnsi="Arial" w:cs="Arial"/>
          <w:sz w:val="22"/>
          <w:szCs w:val="22"/>
        </w:rPr>
        <w:t xml:space="preserve"> May and 30</w:t>
      </w:r>
      <w:r w:rsidRPr="00241323">
        <w:rPr>
          <w:rFonts w:ascii="Arial" w:hAnsi="Arial" w:cs="Arial"/>
          <w:sz w:val="22"/>
          <w:szCs w:val="22"/>
          <w:vertAlign w:val="superscript"/>
        </w:rPr>
        <w:t>th</w:t>
      </w:r>
      <w:r w:rsidRPr="00241323">
        <w:rPr>
          <w:rFonts w:ascii="Arial" w:hAnsi="Arial" w:cs="Arial"/>
          <w:sz w:val="22"/>
          <w:szCs w:val="22"/>
        </w:rPr>
        <w:t xml:space="preserve"> November  </w:t>
      </w:r>
    </w:p>
    <w:p w14:paraId="6256F6C2" w14:textId="77777777" w:rsidR="00F70CED" w:rsidRPr="00241323" w:rsidRDefault="00F70CED" w:rsidP="00F70CED">
      <w:pPr>
        <w:tabs>
          <w:tab w:val="left" w:pos="426"/>
        </w:tabs>
        <w:jc w:val="both"/>
        <w:rPr>
          <w:rFonts w:ascii="Arial" w:hAnsi="Arial" w:cs="Arial"/>
          <w:sz w:val="22"/>
          <w:szCs w:val="22"/>
        </w:rPr>
      </w:pPr>
    </w:p>
    <w:p w14:paraId="3D4563CB" w14:textId="77777777" w:rsidR="00F70CED" w:rsidRPr="00241323" w:rsidRDefault="00F70CED" w:rsidP="00F70CED">
      <w:pPr>
        <w:pStyle w:val="NormalWeb"/>
        <w:spacing w:before="0" w:beforeAutospacing="0" w:after="0" w:afterAutospacing="0"/>
        <w:jc w:val="both"/>
        <w:rPr>
          <w:rFonts w:ascii="Arial" w:hAnsi="Arial" w:cs="Arial"/>
          <w:sz w:val="22"/>
          <w:szCs w:val="22"/>
        </w:rPr>
      </w:pPr>
      <w:r w:rsidRPr="00241323">
        <w:rPr>
          <w:rFonts w:ascii="Arial" w:hAnsi="Arial" w:cs="Arial"/>
          <w:sz w:val="22"/>
          <w:szCs w:val="22"/>
        </w:rPr>
        <w:t>Donors with a history of WNV and/or a positive WNV NAT should be temporarily deferred pending investigation but may be returned to the donor panel 6 months after pick-up without the need for any further testing.</w:t>
      </w:r>
    </w:p>
    <w:p w14:paraId="2A122B21" w14:textId="77777777" w:rsidR="00F70CED" w:rsidRPr="00241323" w:rsidRDefault="00F70CED" w:rsidP="00F70CED">
      <w:pPr>
        <w:jc w:val="both"/>
        <w:rPr>
          <w:rFonts w:ascii="Arial" w:hAnsi="Arial" w:cs="Arial"/>
          <w:sz w:val="22"/>
          <w:szCs w:val="22"/>
        </w:rPr>
      </w:pPr>
    </w:p>
    <w:p w14:paraId="160D564D" w14:textId="77777777" w:rsidR="00F70CED" w:rsidRPr="00241323" w:rsidRDefault="00F70CED" w:rsidP="00F70CED">
      <w:pPr>
        <w:pStyle w:val="NormalWeb"/>
        <w:spacing w:before="0" w:beforeAutospacing="0" w:after="0" w:afterAutospacing="0"/>
        <w:jc w:val="both"/>
        <w:rPr>
          <w:rFonts w:ascii="Arial" w:hAnsi="Arial" w:cs="Arial"/>
          <w:sz w:val="22"/>
          <w:szCs w:val="22"/>
          <w:vertAlign w:val="superscript"/>
        </w:rPr>
      </w:pPr>
      <w:r w:rsidRPr="00241323">
        <w:rPr>
          <w:rFonts w:ascii="Arial" w:hAnsi="Arial" w:cs="Arial"/>
          <w:sz w:val="22"/>
          <w:szCs w:val="22"/>
        </w:rPr>
        <w:t xml:space="preserve">Fresh Frozen Plasma and </w:t>
      </w:r>
      <w:proofErr w:type="spellStart"/>
      <w:r w:rsidRPr="00241323">
        <w:rPr>
          <w:rFonts w:ascii="Arial" w:hAnsi="Arial" w:cs="Arial"/>
          <w:sz w:val="22"/>
          <w:szCs w:val="22"/>
        </w:rPr>
        <w:t>Octaplas</w:t>
      </w:r>
      <w:proofErr w:type="spellEnd"/>
      <w:r w:rsidRPr="00241323">
        <w:rPr>
          <w:rFonts w:ascii="Arial" w:hAnsi="Arial" w:cs="Arial"/>
          <w:sz w:val="22"/>
          <w:szCs w:val="22"/>
        </w:rPr>
        <w:t xml:space="preserve">, imported for use within the UK, are subject to </w:t>
      </w:r>
      <w:r w:rsidRPr="00241323">
        <w:rPr>
          <w:rFonts w:ascii="Arial" w:hAnsi="Arial" w:cs="Arial"/>
          <w:iCs/>
          <w:sz w:val="22"/>
          <w:szCs w:val="22"/>
        </w:rPr>
        <w:t>pathogen reduction methods</w:t>
      </w:r>
      <w:r w:rsidRPr="00241323">
        <w:rPr>
          <w:rFonts w:ascii="Arial" w:hAnsi="Arial" w:cs="Arial"/>
          <w:i/>
          <w:iCs/>
          <w:sz w:val="22"/>
          <w:szCs w:val="22"/>
        </w:rPr>
        <w:t xml:space="preserve"> (</w:t>
      </w:r>
      <w:r w:rsidRPr="00241323">
        <w:rPr>
          <w:rFonts w:ascii="Arial" w:hAnsi="Arial" w:cs="Arial"/>
          <w:sz w:val="22"/>
          <w:szCs w:val="22"/>
        </w:rPr>
        <w:t>methylene blue or solvent detergent treatment). Methylene blue treatment has been shown to reduce the WNV load by at least 6.5</w:t>
      </w:r>
      <w:r w:rsidRPr="00241323">
        <w:rPr>
          <w:rFonts w:ascii="Arial" w:hAnsi="Arial" w:cs="Arial"/>
          <w:sz w:val="22"/>
          <w:szCs w:val="22"/>
          <w:vertAlign w:val="superscript"/>
        </w:rPr>
        <w:t>10</w:t>
      </w:r>
      <w:r w:rsidRPr="00241323">
        <w:rPr>
          <w:rFonts w:ascii="Arial" w:hAnsi="Arial" w:cs="Arial"/>
          <w:sz w:val="22"/>
          <w:szCs w:val="22"/>
        </w:rPr>
        <w:t xml:space="preserve"> logs to below the detection limit therefore the risk of transmission of WNV by methylene blue treated FFP of non-UK origin must therefore be considered negligible. WNV appears to be one of the most rapidly inactivated viruses studied therefore although no specific inactivation data is available for WNV inactivation by SD treatment, other enveloped viruses such as HCV and HIV have been shown to be inactivated by &gt;5</w:t>
      </w:r>
      <w:r w:rsidRPr="00241323">
        <w:rPr>
          <w:rFonts w:ascii="Arial" w:hAnsi="Arial" w:cs="Arial"/>
          <w:sz w:val="22"/>
          <w:szCs w:val="22"/>
          <w:vertAlign w:val="superscript"/>
        </w:rPr>
        <w:t xml:space="preserve">10 </w:t>
      </w:r>
      <w:r w:rsidRPr="00241323">
        <w:rPr>
          <w:rFonts w:ascii="Arial" w:hAnsi="Arial" w:cs="Arial"/>
          <w:sz w:val="22"/>
          <w:szCs w:val="22"/>
        </w:rPr>
        <w:t>and</w:t>
      </w:r>
      <w:r w:rsidRPr="00241323">
        <w:rPr>
          <w:rFonts w:ascii="Arial" w:hAnsi="Arial" w:cs="Arial"/>
          <w:sz w:val="22"/>
          <w:szCs w:val="22"/>
          <w:vertAlign w:val="superscript"/>
        </w:rPr>
        <w:t xml:space="preserve"> </w:t>
      </w:r>
      <w:r w:rsidRPr="00241323">
        <w:rPr>
          <w:rFonts w:ascii="Arial" w:hAnsi="Arial" w:cs="Arial"/>
          <w:sz w:val="22"/>
          <w:szCs w:val="22"/>
        </w:rPr>
        <w:t>&gt;6</w:t>
      </w:r>
      <w:r w:rsidRPr="00241323">
        <w:rPr>
          <w:rFonts w:ascii="Arial" w:hAnsi="Arial" w:cs="Arial"/>
          <w:sz w:val="22"/>
          <w:szCs w:val="22"/>
          <w:vertAlign w:val="superscript"/>
        </w:rPr>
        <w:t xml:space="preserve">10 </w:t>
      </w:r>
      <w:r w:rsidRPr="00241323">
        <w:rPr>
          <w:rFonts w:ascii="Arial" w:hAnsi="Arial" w:cs="Arial"/>
          <w:sz w:val="22"/>
          <w:szCs w:val="22"/>
        </w:rPr>
        <w:t>logs respectively, therefore SD treatment</w:t>
      </w:r>
      <w:r w:rsidRPr="00241323">
        <w:rPr>
          <w:rFonts w:ascii="Arial" w:hAnsi="Arial" w:cs="Arial"/>
          <w:sz w:val="22"/>
          <w:szCs w:val="22"/>
          <w:vertAlign w:val="superscript"/>
        </w:rPr>
        <w:t xml:space="preserve"> </w:t>
      </w:r>
      <w:r w:rsidRPr="00241323">
        <w:rPr>
          <w:rFonts w:ascii="Arial" w:hAnsi="Arial" w:cs="Arial"/>
          <w:sz w:val="22"/>
          <w:szCs w:val="22"/>
        </w:rPr>
        <w:t>should also provide protection against West Nile virus.</w:t>
      </w:r>
    </w:p>
    <w:p w14:paraId="18B47C20" w14:textId="77777777" w:rsidR="00F70CED" w:rsidRPr="00241323" w:rsidRDefault="00F70CED" w:rsidP="00F70CED">
      <w:pPr>
        <w:pStyle w:val="NormalWeb"/>
        <w:spacing w:before="0" w:beforeAutospacing="0" w:after="0" w:afterAutospacing="0"/>
        <w:jc w:val="both"/>
        <w:rPr>
          <w:rFonts w:ascii="Arial" w:hAnsi="Arial" w:cs="Arial"/>
          <w:sz w:val="22"/>
          <w:szCs w:val="22"/>
        </w:rPr>
      </w:pPr>
    </w:p>
    <w:p w14:paraId="5F0A9B49" w14:textId="77777777" w:rsidR="00F70CED" w:rsidRDefault="00F70CED" w:rsidP="00F70CED">
      <w:pPr>
        <w:pStyle w:val="BodyText"/>
        <w:spacing w:after="0"/>
        <w:jc w:val="both"/>
        <w:rPr>
          <w:rFonts w:ascii="Arial" w:hAnsi="Arial" w:cs="Arial"/>
          <w:sz w:val="22"/>
          <w:szCs w:val="22"/>
        </w:rPr>
      </w:pPr>
      <w:r w:rsidRPr="00241323">
        <w:rPr>
          <w:rFonts w:ascii="Arial" w:hAnsi="Arial" w:cs="Arial"/>
          <w:bCs/>
          <w:sz w:val="22"/>
          <w:szCs w:val="22"/>
        </w:rPr>
        <w:t xml:space="preserve">Countries affected by WNV and any applicable time limits are shown in the </w:t>
      </w:r>
      <w:r w:rsidRPr="00241323">
        <w:rPr>
          <w:rFonts w:ascii="Arial" w:hAnsi="Arial" w:cs="Arial"/>
          <w:sz w:val="22"/>
          <w:szCs w:val="22"/>
        </w:rPr>
        <w:t>Geographical Disease Risk Index (GDRI) and any associated Change Notifications.</w:t>
      </w:r>
    </w:p>
    <w:p w14:paraId="34F41A2F" w14:textId="77777777" w:rsidR="00F70CED" w:rsidRDefault="00F70CED" w:rsidP="00F70CED">
      <w:pPr>
        <w:pStyle w:val="BodyText"/>
        <w:spacing w:after="0"/>
        <w:jc w:val="both"/>
        <w:rPr>
          <w:rFonts w:ascii="Arial" w:hAnsi="Arial" w:cs="Arial"/>
          <w:sz w:val="22"/>
          <w:szCs w:val="22"/>
        </w:rPr>
      </w:pPr>
    </w:p>
    <w:p w14:paraId="4CEFEFEB" w14:textId="139D4EAD" w:rsidR="00096FC9" w:rsidRPr="00241323" w:rsidRDefault="00F70CED" w:rsidP="00F70CED">
      <w:pPr>
        <w:sectPr w:rsidR="00096FC9" w:rsidRPr="00241323" w:rsidSect="00096FC9">
          <w:headerReference w:type="default" r:id="rId12"/>
          <w:footerReference w:type="even" r:id="rId13"/>
          <w:footerReference w:type="default" r:id="rId14"/>
          <w:headerReference w:type="first" r:id="rId15"/>
          <w:footerReference w:type="first" r:id="rId16"/>
          <w:pgSz w:w="11906" w:h="16838"/>
          <w:pgMar w:top="1440" w:right="1440" w:bottom="1440" w:left="1440" w:header="425" w:footer="709" w:gutter="0"/>
          <w:pgNumType w:start="1"/>
          <w:cols w:space="708"/>
          <w:titlePg/>
          <w:docGrid w:linePitch="360"/>
        </w:sectPr>
      </w:pPr>
      <w:r w:rsidRPr="002127D6">
        <w:rPr>
          <w:rFonts w:ascii="Arial" w:hAnsi="Arial" w:cs="Arial"/>
          <w:sz w:val="22"/>
          <w:szCs w:val="22"/>
        </w:rPr>
        <w:t>Information about international outbreaks of WNV is available on the National Travel Health Network and Centre (</w:t>
      </w:r>
      <w:proofErr w:type="spellStart"/>
      <w:r w:rsidRPr="002127D6">
        <w:rPr>
          <w:rFonts w:ascii="Arial" w:hAnsi="Arial" w:cs="Arial"/>
          <w:sz w:val="22"/>
          <w:szCs w:val="22"/>
        </w:rPr>
        <w:t>NaTHNaC</w:t>
      </w:r>
      <w:proofErr w:type="spellEnd"/>
      <w:r w:rsidRPr="002127D6">
        <w:rPr>
          <w:rFonts w:ascii="Arial" w:hAnsi="Arial" w:cs="Arial"/>
          <w:sz w:val="22"/>
          <w:szCs w:val="22"/>
        </w:rPr>
        <w:t xml:space="preserve">) website: </w:t>
      </w:r>
      <w:hyperlink r:id="rId17" w:history="1">
        <w:r w:rsidRPr="002127D6">
          <w:rPr>
            <w:rStyle w:val="Hyperlink"/>
            <w:sz w:val="22"/>
            <w:szCs w:val="22"/>
          </w:rPr>
          <w:t>http://travelhealthpro.org.uk</w:t>
        </w:r>
      </w:hyperlink>
    </w:p>
    <w:p w14:paraId="5970C86F" w14:textId="77777777" w:rsidR="001D151C" w:rsidRPr="00241323" w:rsidRDefault="001D151C" w:rsidP="00F70CED">
      <w:pPr>
        <w:jc w:val="both"/>
        <w:rPr>
          <w:rFonts w:ascii="Arial" w:hAnsi="Arial" w:cs="Arial"/>
          <w:sz w:val="22"/>
          <w:szCs w:val="22"/>
        </w:rPr>
      </w:pPr>
    </w:p>
    <w:sectPr w:rsidR="001D151C" w:rsidRPr="00241323" w:rsidSect="00096FC9">
      <w:headerReference w:type="first" r:id="rId18"/>
      <w:footerReference w:type="first" r:id="rId19"/>
      <w:pgSz w:w="11906" w:h="16838"/>
      <w:pgMar w:top="1440" w:right="1440" w:bottom="1440" w:left="1440"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D0B92" w14:textId="77777777" w:rsidR="00012D21" w:rsidRDefault="00012D21">
      <w:r>
        <w:separator/>
      </w:r>
    </w:p>
  </w:endnote>
  <w:endnote w:type="continuationSeparator" w:id="0">
    <w:p w14:paraId="0AC85093" w14:textId="77777777" w:rsidR="00012D21" w:rsidRDefault="0001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1FB3A" w14:textId="77777777" w:rsidR="00882FEA" w:rsidRDefault="005A0FFB" w:rsidP="002F1F0A">
    <w:pPr>
      <w:pStyle w:val="Footer"/>
      <w:framePr w:wrap="around" w:vAnchor="text" w:hAnchor="margin" w:xAlign="right" w:y="1"/>
      <w:rPr>
        <w:rStyle w:val="PageNumber"/>
      </w:rPr>
    </w:pPr>
    <w:r>
      <w:rPr>
        <w:rStyle w:val="PageNumber"/>
      </w:rPr>
      <w:fldChar w:fldCharType="begin"/>
    </w:r>
    <w:r w:rsidR="00882FEA">
      <w:rPr>
        <w:rStyle w:val="PageNumber"/>
      </w:rPr>
      <w:instrText xml:space="preserve">PAGE  </w:instrText>
    </w:r>
    <w:r>
      <w:rPr>
        <w:rStyle w:val="PageNumber"/>
      </w:rPr>
      <w:fldChar w:fldCharType="end"/>
    </w:r>
  </w:p>
  <w:p w14:paraId="305FB377" w14:textId="77777777" w:rsidR="00882FEA" w:rsidRDefault="00882FEA" w:rsidP="00BD7A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F738" w14:textId="7D492A11" w:rsidR="00882FEA" w:rsidRDefault="00882FEA" w:rsidP="002127D6">
    <w:pPr>
      <w:pStyle w:val="Footer"/>
      <w:jc w:val="center"/>
    </w:pPr>
    <w:r w:rsidRPr="007A43F6">
      <w:rPr>
        <w:rFonts w:ascii="Arial" w:hAnsi="Arial" w:cs="Arial"/>
        <w:color w:val="808080"/>
        <w:sz w:val="18"/>
        <w:szCs w:val="18"/>
      </w:rPr>
      <w:t xml:space="preserve">Page </w:t>
    </w:r>
    <w:r w:rsidR="005A0FFB" w:rsidRPr="007A43F6">
      <w:rPr>
        <w:rFonts w:ascii="Arial" w:hAnsi="Arial" w:cs="Arial"/>
        <w:bCs/>
        <w:color w:val="808080"/>
        <w:sz w:val="18"/>
        <w:szCs w:val="18"/>
      </w:rPr>
      <w:fldChar w:fldCharType="begin"/>
    </w:r>
    <w:r w:rsidRPr="007A43F6">
      <w:rPr>
        <w:rFonts w:ascii="Arial" w:hAnsi="Arial" w:cs="Arial"/>
        <w:bCs/>
        <w:color w:val="808080"/>
        <w:sz w:val="18"/>
        <w:szCs w:val="18"/>
      </w:rPr>
      <w:instrText xml:space="preserve"> PAGE </w:instrText>
    </w:r>
    <w:r w:rsidR="005A0FFB" w:rsidRPr="007A43F6">
      <w:rPr>
        <w:rFonts w:ascii="Arial" w:hAnsi="Arial" w:cs="Arial"/>
        <w:bCs/>
        <w:color w:val="808080"/>
        <w:sz w:val="18"/>
        <w:szCs w:val="18"/>
      </w:rPr>
      <w:fldChar w:fldCharType="separate"/>
    </w:r>
    <w:r w:rsidR="009A7634">
      <w:rPr>
        <w:rFonts w:ascii="Arial" w:hAnsi="Arial" w:cs="Arial"/>
        <w:bCs/>
        <w:noProof/>
        <w:color w:val="808080"/>
        <w:sz w:val="18"/>
        <w:szCs w:val="18"/>
      </w:rPr>
      <w:t>6</w:t>
    </w:r>
    <w:r w:rsidR="005A0FFB" w:rsidRPr="007A43F6">
      <w:rPr>
        <w:rFonts w:ascii="Arial" w:hAnsi="Arial" w:cs="Arial"/>
        <w:bCs/>
        <w:color w:val="808080"/>
        <w:sz w:val="18"/>
        <w:szCs w:val="18"/>
      </w:rPr>
      <w:fldChar w:fldCharType="end"/>
    </w:r>
    <w:r w:rsidRPr="007A43F6">
      <w:rPr>
        <w:rFonts w:ascii="Arial" w:hAnsi="Arial" w:cs="Arial"/>
        <w:color w:val="808080"/>
        <w:sz w:val="18"/>
        <w:szCs w:val="18"/>
      </w:rPr>
      <w:t xml:space="preserve"> of</w:t>
    </w:r>
    <w:r w:rsidR="002127D6">
      <w:rPr>
        <w:rFonts w:ascii="Arial" w:hAnsi="Arial" w:cs="Arial"/>
        <w:color w:val="808080"/>
        <w:sz w:val="18"/>
        <w:szCs w:val="18"/>
      </w:rPr>
      <w:t xml:space="preserve"> </w:t>
    </w:r>
    <w:r w:rsidR="002127D6">
      <w:rPr>
        <w:rFonts w:ascii="Arial" w:hAnsi="Arial" w:cs="Arial"/>
        <w:bCs/>
        <w:color w:val="808080"/>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170434"/>
      <w:docPartObj>
        <w:docPartGallery w:val="Page Numbers (Bottom of Page)"/>
        <w:docPartUnique/>
      </w:docPartObj>
    </w:sdtPr>
    <w:sdtContent>
      <w:sdt>
        <w:sdtPr>
          <w:id w:val="-1705238520"/>
          <w:docPartObj>
            <w:docPartGallery w:val="Page Numbers (Top of Page)"/>
            <w:docPartUnique/>
          </w:docPartObj>
        </w:sdtPr>
        <w:sdtContent>
          <w:p w14:paraId="56FF2864" w14:textId="477B6305" w:rsidR="00111B44" w:rsidRPr="00111B44" w:rsidRDefault="00111B44" w:rsidP="00111B44">
            <w:pPr>
              <w:pStyle w:val="Footer"/>
              <w:ind w:left="360" w:hanging="360"/>
              <w:rPr>
                <w:rFonts w:ascii="Arial" w:hAnsi="Arial" w:cs="Arial"/>
                <w:color w:val="808080"/>
                <w:sz w:val="18"/>
                <w:szCs w:val="18"/>
              </w:rPr>
            </w:pPr>
            <w:r w:rsidRPr="00F17347">
              <w:rPr>
                <w:rFonts w:ascii="Arial" w:hAnsi="Arial" w:cs="Arial"/>
                <w:color w:val="808080"/>
                <w:sz w:val="18"/>
                <w:szCs w:val="18"/>
              </w:rPr>
              <w:t>(</w:t>
            </w:r>
            <w:r w:rsidRPr="00F17347">
              <w:rPr>
                <w:rFonts w:ascii="Arial" w:hAnsi="Arial" w:cs="Arial"/>
                <w:color w:val="808080"/>
                <w:sz w:val="18"/>
                <w:szCs w:val="18"/>
                <w:vertAlign w:val="superscript"/>
              </w:rPr>
              <w:t>1</w:t>
            </w:r>
            <w:r w:rsidRPr="00F17347">
              <w:rPr>
                <w:rFonts w:ascii="Arial" w:hAnsi="Arial" w:cs="Arial"/>
                <w:color w:val="808080"/>
                <w:sz w:val="18"/>
                <w:szCs w:val="18"/>
              </w:rPr>
              <w:t xml:space="preserve">)  </w:t>
            </w:r>
            <w:r w:rsidRPr="00F17347">
              <w:rPr>
                <w:rFonts w:ascii="Arial" w:hAnsi="Arial" w:cs="Arial"/>
                <w:b/>
                <w:color w:val="808080"/>
                <w:sz w:val="18"/>
                <w:szCs w:val="18"/>
              </w:rPr>
              <w:t>J</w:t>
            </w:r>
            <w:r w:rsidRPr="00F17347">
              <w:rPr>
                <w:rFonts w:ascii="Arial" w:hAnsi="Arial" w:cs="Arial"/>
                <w:color w:val="808080"/>
                <w:sz w:val="18"/>
                <w:szCs w:val="18"/>
              </w:rPr>
              <w:t xml:space="preserve">oint United Kingdom Blood Transfusion and Tissue Transplantation Services </w:t>
            </w:r>
            <w:r w:rsidRPr="00F17347">
              <w:rPr>
                <w:rFonts w:ascii="Arial" w:hAnsi="Arial" w:cs="Arial"/>
                <w:b/>
                <w:color w:val="808080"/>
                <w:sz w:val="18"/>
                <w:szCs w:val="18"/>
              </w:rPr>
              <w:t>P</w:t>
            </w:r>
            <w:r w:rsidRPr="00F17347">
              <w:rPr>
                <w:rFonts w:ascii="Arial" w:hAnsi="Arial" w:cs="Arial"/>
                <w:color w:val="808080"/>
                <w:sz w:val="18"/>
                <w:szCs w:val="18"/>
              </w:rPr>
              <w:t xml:space="preserve">rofessional </w:t>
            </w:r>
            <w:r w:rsidRPr="00F17347">
              <w:rPr>
                <w:rFonts w:ascii="Arial" w:hAnsi="Arial" w:cs="Arial"/>
                <w:b/>
                <w:color w:val="808080"/>
                <w:sz w:val="18"/>
                <w:szCs w:val="18"/>
              </w:rPr>
              <w:t>A</w:t>
            </w:r>
            <w:r w:rsidRPr="00F17347">
              <w:rPr>
                <w:rFonts w:ascii="Arial" w:hAnsi="Arial" w:cs="Arial"/>
                <w:color w:val="808080"/>
                <w:sz w:val="18"/>
                <w:szCs w:val="18"/>
              </w:rPr>
              <w:t xml:space="preserve">dvisory </w:t>
            </w:r>
            <w:r w:rsidRPr="00F17347">
              <w:rPr>
                <w:rFonts w:ascii="Arial" w:hAnsi="Arial" w:cs="Arial"/>
                <w:b/>
                <w:color w:val="808080"/>
                <w:sz w:val="18"/>
                <w:szCs w:val="18"/>
              </w:rPr>
              <w:t>C</w:t>
            </w:r>
            <w:r w:rsidRPr="00F17347">
              <w:rPr>
                <w:rFonts w:ascii="Arial" w:hAnsi="Arial" w:cs="Arial"/>
                <w:color w:val="808080"/>
                <w:sz w:val="18"/>
                <w:szCs w:val="18"/>
              </w:rPr>
              <w:t>ommittee (</w:t>
            </w:r>
            <w:r w:rsidRPr="00F17347">
              <w:rPr>
                <w:rFonts w:ascii="Arial" w:hAnsi="Arial" w:cs="Arial"/>
                <w:b/>
                <w:color w:val="808080"/>
                <w:sz w:val="18"/>
                <w:szCs w:val="18"/>
              </w:rPr>
              <w:t>JPAC</w:t>
            </w:r>
            <w:r w:rsidRPr="00F17347">
              <w:rPr>
                <w:rFonts w:ascii="Arial" w:hAnsi="Arial" w:cs="Arial"/>
                <w:color w:val="808080"/>
                <w:sz w:val="18"/>
                <w:szCs w:val="18"/>
              </w:rPr>
              <w:t>)</w:t>
            </w:r>
          </w:p>
          <w:p w14:paraId="299238F9" w14:textId="73993124" w:rsidR="00111B44" w:rsidRDefault="00111B44" w:rsidP="00111B44">
            <w:pPr>
              <w:pStyle w:val="Footer"/>
              <w:jc w:val="center"/>
            </w:pPr>
            <w:r w:rsidRPr="00111B44">
              <w:rPr>
                <w:rFonts w:ascii="Arial" w:hAnsi="Arial" w:cs="Arial"/>
                <w:sz w:val="18"/>
                <w:szCs w:val="18"/>
              </w:rPr>
              <w:t xml:space="preserve">Page </w:t>
            </w:r>
            <w:r w:rsidRPr="00111B44">
              <w:rPr>
                <w:rFonts w:ascii="Arial" w:hAnsi="Arial" w:cs="Arial"/>
                <w:b/>
                <w:bCs/>
                <w:sz w:val="18"/>
                <w:szCs w:val="18"/>
              </w:rPr>
              <w:fldChar w:fldCharType="begin"/>
            </w:r>
            <w:r w:rsidRPr="00111B44">
              <w:rPr>
                <w:rFonts w:ascii="Arial" w:hAnsi="Arial" w:cs="Arial"/>
                <w:b/>
                <w:bCs/>
                <w:sz w:val="18"/>
                <w:szCs w:val="18"/>
              </w:rPr>
              <w:instrText xml:space="preserve"> PAGE </w:instrText>
            </w:r>
            <w:r w:rsidRPr="00111B44">
              <w:rPr>
                <w:rFonts w:ascii="Arial" w:hAnsi="Arial" w:cs="Arial"/>
                <w:b/>
                <w:bCs/>
                <w:sz w:val="18"/>
                <w:szCs w:val="18"/>
              </w:rPr>
              <w:fldChar w:fldCharType="separate"/>
            </w:r>
            <w:r w:rsidRPr="00111B44">
              <w:rPr>
                <w:rFonts w:ascii="Arial" w:hAnsi="Arial" w:cs="Arial"/>
                <w:b/>
                <w:bCs/>
                <w:noProof/>
                <w:sz w:val="18"/>
                <w:szCs w:val="18"/>
              </w:rPr>
              <w:t>2</w:t>
            </w:r>
            <w:r w:rsidRPr="00111B44">
              <w:rPr>
                <w:rFonts w:ascii="Arial" w:hAnsi="Arial" w:cs="Arial"/>
                <w:b/>
                <w:bCs/>
                <w:sz w:val="18"/>
                <w:szCs w:val="18"/>
              </w:rPr>
              <w:fldChar w:fldCharType="end"/>
            </w:r>
            <w:r w:rsidRPr="00111B44">
              <w:rPr>
                <w:rFonts w:ascii="Arial" w:hAnsi="Arial" w:cs="Arial"/>
                <w:sz w:val="18"/>
                <w:szCs w:val="18"/>
              </w:rPr>
              <w:t xml:space="preserve"> of </w:t>
            </w:r>
            <w:r w:rsidRPr="00111B44">
              <w:rPr>
                <w:rFonts w:ascii="Arial" w:hAnsi="Arial" w:cs="Arial"/>
                <w:b/>
                <w:bCs/>
                <w:sz w:val="18"/>
                <w:szCs w:val="18"/>
              </w:rPr>
              <w:fldChar w:fldCharType="begin"/>
            </w:r>
            <w:r w:rsidRPr="00111B44">
              <w:rPr>
                <w:rFonts w:ascii="Arial" w:hAnsi="Arial" w:cs="Arial"/>
                <w:b/>
                <w:bCs/>
                <w:sz w:val="18"/>
                <w:szCs w:val="18"/>
              </w:rPr>
              <w:instrText xml:space="preserve"> NUMPAGES  </w:instrText>
            </w:r>
            <w:r w:rsidRPr="00111B44">
              <w:rPr>
                <w:rFonts w:ascii="Arial" w:hAnsi="Arial" w:cs="Arial"/>
                <w:b/>
                <w:bCs/>
                <w:sz w:val="18"/>
                <w:szCs w:val="18"/>
              </w:rPr>
              <w:fldChar w:fldCharType="separate"/>
            </w:r>
            <w:r w:rsidRPr="00111B44">
              <w:rPr>
                <w:rFonts w:ascii="Arial" w:hAnsi="Arial" w:cs="Arial"/>
                <w:b/>
                <w:bCs/>
                <w:noProof/>
                <w:sz w:val="18"/>
                <w:szCs w:val="18"/>
              </w:rPr>
              <w:t>2</w:t>
            </w:r>
            <w:r w:rsidRPr="00111B44">
              <w:rPr>
                <w:rFonts w:ascii="Arial" w:hAnsi="Arial" w:cs="Arial"/>
                <w:b/>
                <w:bCs/>
                <w:sz w:val="18"/>
                <w:szCs w:val="18"/>
              </w:rPr>
              <w:fldChar w:fldCharType="end"/>
            </w:r>
          </w:p>
        </w:sdtContent>
      </w:sdt>
    </w:sdtContent>
  </w:sdt>
  <w:p w14:paraId="6A653D21" w14:textId="77777777" w:rsidR="005F02F0" w:rsidRDefault="005F02F0" w:rsidP="005F02F0">
    <w:pPr>
      <w:pStyle w:val="Footer"/>
      <w:tabs>
        <w:tab w:val="clear" w:pos="4153"/>
        <w:tab w:val="clear" w:pos="8306"/>
        <w:tab w:val="left" w:pos="393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9AB58" w14:textId="3B1DB388" w:rsidR="00882FEA" w:rsidRPr="007A43F6" w:rsidRDefault="00882FEA">
    <w:pPr>
      <w:pStyle w:val="Footer"/>
      <w:jc w:val="center"/>
      <w:rPr>
        <w:rFonts w:ascii="Arial" w:hAnsi="Arial" w:cs="Arial"/>
        <w:color w:val="808080"/>
        <w:sz w:val="18"/>
        <w:szCs w:val="18"/>
      </w:rPr>
    </w:pPr>
    <w:r w:rsidRPr="007A43F6">
      <w:rPr>
        <w:rFonts w:ascii="Arial" w:hAnsi="Arial" w:cs="Arial"/>
        <w:color w:val="808080"/>
        <w:sz w:val="18"/>
        <w:szCs w:val="18"/>
      </w:rPr>
      <w:t xml:space="preserve">Page </w:t>
    </w:r>
    <w:r w:rsidR="005A0FFB" w:rsidRPr="007A43F6">
      <w:rPr>
        <w:rFonts w:ascii="Arial" w:hAnsi="Arial" w:cs="Arial"/>
        <w:bCs/>
        <w:color w:val="808080"/>
        <w:sz w:val="18"/>
        <w:szCs w:val="18"/>
      </w:rPr>
      <w:fldChar w:fldCharType="begin"/>
    </w:r>
    <w:r w:rsidRPr="007A43F6">
      <w:rPr>
        <w:rFonts w:ascii="Arial" w:hAnsi="Arial" w:cs="Arial"/>
        <w:bCs/>
        <w:color w:val="808080"/>
        <w:sz w:val="18"/>
        <w:szCs w:val="18"/>
      </w:rPr>
      <w:instrText xml:space="preserve"> PAGE </w:instrText>
    </w:r>
    <w:r w:rsidR="005A0FFB" w:rsidRPr="007A43F6">
      <w:rPr>
        <w:rFonts w:ascii="Arial" w:hAnsi="Arial" w:cs="Arial"/>
        <w:bCs/>
        <w:color w:val="808080"/>
        <w:sz w:val="18"/>
        <w:szCs w:val="18"/>
      </w:rPr>
      <w:fldChar w:fldCharType="separate"/>
    </w:r>
    <w:r w:rsidR="009A7634">
      <w:rPr>
        <w:rFonts w:ascii="Arial" w:hAnsi="Arial" w:cs="Arial"/>
        <w:bCs/>
        <w:noProof/>
        <w:color w:val="808080"/>
        <w:sz w:val="18"/>
        <w:szCs w:val="18"/>
      </w:rPr>
      <w:t>1</w:t>
    </w:r>
    <w:r w:rsidR="005A0FFB" w:rsidRPr="007A43F6">
      <w:rPr>
        <w:rFonts w:ascii="Arial" w:hAnsi="Arial" w:cs="Arial"/>
        <w:bCs/>
        <w:color w:val="808080"/>
        <w:sz w:val="18"/>
        <w:szCs w:val="18"/>
      </w:rPr>
      <w:fldChar w:fldCharType="end"/>
    </w:r>
    <w:r w:rsidRPr="007A43F6">
      <w:rPr>
        <w:rFonts w:ascii="Arial" w:hAnsi="Arial" w:cs="Arial"/>
        <w:color w:val="808080"/>
        <w:sz w:val="18"/>
        <w:szCs w:val="18"/>
      </w:rPr>
      <w:t xml:space="preserve"> of </w:t>
    </w:r>
    <w:r w:rsidR="005A0FFB" w:rsidRPr="007A43F6">
      <w:rPr>
        <w:rFonts w:ascii="Arial" w:hAnsi="Arial" w:cs="Arial"/>
        <w:bCs/>
        <w:color w:val="808080"/>
        <w:sz w:val="18"/>
        <w:szCs w:val="18"/>
      </w:rPr>
      <w:fldChar w:fldCharType="begin"/>
    </w:r>
    <w:r w:rsidRPr="007A43F6">
      <w:rPr>
        <w:rFonts w:ascii="Arial" w:hAnsi="Arial" w:cs="Arial"/>
        <w:bCs/>
        <w:color w:val="808080"/>
        <w:sz w:val="18"/>
        <w:szCs w:val="18"/>
      </w:rPr>
      <w:instrText xml:space="preserve"> NUMPAGES  </w:instrText>
    </w:r>
    <w:r w:rsidR="005A0FFB" w:rsidRPr="007A43F6">
      <w:rPr>
        <w:rFonts w:ascii="Arial" w:hAnsi="Arial" w:cs="Arial"/>
        <w:bCs/>
        <w:color w:val="808080"/>
        <w:sz w:val="18"/>
        <w:szCs w:val="18"/>
      </w:rPr>
      <w:fldChar w:fldCharType="separate"/>
    </w:r>
    <w:r w:rsidR="009A7634">
      <w:rPr>
        <w:rFonts w:ascii="Arial" w:hAnsi="Arial" w:cs="Arial"/>
        <w:bCs/>
        <w:noProof/>
        <w:color w:val="808080"/>
        <w:sz w:val="18"/>
        <w:szCs w:val="18"/>
      </w:rPr>
      <w:t>7</w:t>
    </w:r>
    <w:r w:rsidR="005A0FFB" w:rsidRPr="007A43F6">
      <w:rPr>
        <w:rFonts w:ascii="Arial" w:hAnsi="Arial" w:cs="Arial"/>
        <w:bCs/>
        <w:color w:val="808080"/>
        <w:sz w:val="18"/>
        <w:szCs w:val="18"/>
      </w:rPr>
      <w:fldChar w:fldCharType="end"/>
    </w:r>
  </w:p>
  <w:p w14:paraId="099F47D5" w14:textId="77777777" w:rsidR="00882FEA" w:rsidRDefault="00882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F99FD" w14:textId="77777777" w:rsidR="00012D21" w:rsidRDefault="00012D21">
      <w:r>
        <w:separator/>
      </w:r>
    </w:p>
  </w:footnote>
  <w:footnote w:type="continuationSeparator" w:id="0">
    <w:p w14:paraId="1D46C124" w14:textId="77777777" w:rsidR="00012D21" w:rsidRDefault="0001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FA66" w14:textId="77777777" w:rsidR="00882FEA" w:rsidRDefault="00882FEA" w:rsidP="00A410D3">
    <w:pPr>
      <w:pStyle w:val="Header"/>
      <w:jc w:val="center"/>
      <w:rPr>
        <w:rFonts w:ascii="Arial" w:hAnsi="Arial" w:cs="Arial"/>
        <w:b/>
        <w:sz w:val="28"/>
      </w:rPr>
    </w:pPr>
  </w:p>
  <w:p w14:paraId="43DCC098" w14:textId="409B76FF" w:rsidR="005F02F0" w:rsidRDefault="005F02F0" w:rsidP="00A410D3">
    <w:pPr>
      <w:pStyle w:val="Header"/>
      <w:jc w:val="center"/>
      <w:rPr>
        <w:rFonts w:ascii="Arial Rounded MT Bold" w:hAnsi="Arial Rounded MT Bold" w:cs="Arial"/>
        <w:sz w:val="28"/>
      </w:rPr>
    </w:pPr>
  </w:p>
  <w:p w14:paraId="06D56123" w14:textId="77777777" w:rsidR="005F02F0" w:rsidRDefault="005F02F0" w:rsidP="00A410D3">
    <w:pPr>
      <w:pStyle w:val="Header"/>
      <w:jc w:val="center"/>
      <w:rPr>
        <w:rFonts w:ascii="Arial Rounded MT Bold" w:hAnsi="Arial Rounded MT Bold" w:cs="Arial"/>
        <w:sz w:val="28"/>
      </w:rPr>
    </w:pPr>
  </w:p>
  <w:p w14:paraId="42FC2DFE" w14:textId="77777777" w:rsidR="00882FEA" w:rsidRPr="008934D6" w:rsidRDefault="00882FEA" w:rsidP="00A410D3">
    <w:pPr>
      <w:pStyle w:val="Header"/>
      <w:jc w:val="center"/>
      <w:rPr>
        <w:rFonts w:ascii="Arial Rounded MT Bold" w:hAnsi="Arial Rounded MT Bold" w:cs="Arial"/>
      </w:rPr>
    </w:pPr>
    <w:r w:rsidRPr="008934D6">
      <w:rPr>
        <w:rFonts w:ascii="Arial Rounded MT Bold" w:hAnsi="Arial Rounded MT Bold" w:cs="Arial"/>
        <w:sz w:val="28"/>
      </w:rPr>
      <w:t xml:space="preserve">Joint UKBTS Professional Advisory Committee </w:t>
    </w:r>
    <w:r w:rsidRPr="008934D6">
      <w:rPr>
        <w:rFonts w:ascii="Arial Rounded MT Bold" w:hAnsi="Arial Rounded MT Bold" w:cs="Arial"/>
      </w:rPr>
      <w:t>(</w:t>
    </w:r>
    <w:r w:rsidRPr="008934D6">
      <w:rPr>
        <w:rFonts w:ascii="Arial Rounded MT Bold" w:hAnsi="Arial Rounded MT Bold" w:cs="Arial"/>
        <w:vertAlign w:val="superscript"/>
      </w:rPr>
      <w:t>1</w:t>
    </w:r>
    <w:r w:rsidRPr="008934D6">
      <w:rPr>
        <w:rFonts w:ascii="Arial Rounded MT Bold" w:hAnsi="Arial Rounded MT Bold" w:cs="Arial"/>
      </w:rPr>
      <w:t>)</w:t>
    </w:r>
  </w:p>
  <w:p w14:paraId="5F7D3E8A" w14:textId="77777777" w:rsidR="00882FEA" w:rsidRPr="008934D6" w:rsidRDefault="00882FEA" w:rsidP="00A410D3">
    <w:pPr>
      <w:pStyle w:val="Header"/>
      <w:jc w:val="center"/>
      <w:rPr>
        <w:rFonts w:ascii="Arial Rounded MT Bold" w:hAnsi="Arial Rounded MT Bold" w:cs="Arial"/>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072"/>
    </w:tblGrid>
    <w:tr w:rsidR="00882FEA" w:rsidRPr="008934D6" w14:paraId="26966C51" w14:textId="77777777" w:rsidTr="00EF6FA9">
      <w:tc>
        <w:tcPr>
          <w:tcW w:w="9072" w:type="dxa"/>
        </w:tcPr>
        <w:p w14:paraId="62D52918" w14:textId="77777777" w:rsidR="00882FEA" w:rsidRPr="008934D6" w:rsidRDefault="00882FEA" w:rsidP="00EF6FA9">
          <w:pPr>
            <w:pStyle w:val="Header"/>
            <w:spacing w:before="120" w:after="120"/>
            <w:ind w:left="340"/>
            <w:rPr>
              <w:rFonts w:ascii="Arial Rounded MT Bold" w:hAnsi="Arial Rounded MT Bold" w:cs="Arial"/>
              <w:sz w:val="22"/>
              <w:szCs w:val="22"/>
            </w:rPr>
          </w:pPr>
          <w:r w:rsidRPr="008934D6">
            <w:rPr>
              <w:rFonts w:ascii="Arial Rounded MT Bold" w:hAnsi="Arial Rounded MT Bold" w:cs="Arial"/>
              <w:sz w:val="22"/>
              <w:szCs w:val="22"/>
            </w:rPr>
            <w:t>Position Statement</w:t>
          </w:r>
        </w:p>
      </w:tc>
    </w:tr>
    <w:tr w:rsidR="00882FEA" w:rsidRPr="008934D6" w14:paraId="116572DE" w14:textId="77777777" w:rsidTr="00EF6FA9">
      <w:tc>
        <w:tcPr>
          <w:tcW w:w="9072" w:type="dxa"/>
        </w:tcPr>
        <w:p w14:paraId="73C616CC" w14:textId="77777777" w:rsidR="00882FEA" w:rsidRPr="008934D6" w:rsidRDefault="00882FEA" w:rsidP="007365D1">
          <w:pPr>
            <w:pStyle w:val="Header"/>
            <w:tabs>
              <w:tab w:val="clear" w:pos="4513"/>
              <w:tab w:val="clear" w:pos="9026"/>
              <w:tab w:val="right" w:pos="8856"/>
            </w:tabs>
            <w:spacing w:before="120" w:after="120"/>
            <w:ind w:left="340"/>
            <w:rPr>
              <w:rFonts w:ascii="Arial Rounded MT Bold" w:hAnsi="Arial Rounded MT Bold" w:cs="Arial"/>
              <w:sz w:val="22"/>
              <w:szCs w:val="22"/>
            </w:rPr>
          </w:pPr>
          <w:r w:rsidRPr="008934D6">
            <w:rPr>
              <w:rFonts w:ascii="Arial Rounded MT Bold" w:hAnsi="Arial Rounded MT Bold" w:cs="Arial"/>
              <w:sz w:val="22"/>
              <w:szCs w:val="22"/>
            </w:rPr>
            <w:t>West Nile Virus</w:t>
          </w:r>
          <w:r w:rsidR="007365D1">
            <w:rPr>
              <w:rFonts w:ascii="Arial Rounded MT Bold" w:hAnsi="Arial Rounded MT Bold" w:cs="Arial"/>
              <w:sz w:val="22"/>
              <w:szCs w:val="22"/>
            </w:rPr>
            <w:tab/>
          </w:r>
        </w:p>
      </w:tc>
    </w:tr>
    <w:tr w:rsidR="00882FEA" w:rsidRPr="008934D6" w14:paraId="6BBB1C65" w14:textId="77777777" w:rsidTr="00EF6FA9">
      <w:tc>
        <w:tcPr>
          <w:tcW w:w="9072" w:type="dxa"/>
        </w:tcPr>
        <w:p w14:paraId="7BF471B5" w14:textId="77777777" w:rsidR="00882FEA" w:rsidRPr="008934D6" w:rsidRDefault="008D46B9" w:rsidP="00C220E0">
          <w:pPr>
            <w:pStyle w:val="Header"/>
            <w:spacing w:before="120" w:after="120"/>
            <w:ind w:left="340"/>
            <w:rPr>
              <w:rFonts w:ascii="Arial Rounded MT Bold" w:hAnsi="Arial Rounded MT Bold" w:cs="Arial"/>
              <w:sz w:val="22"/>
              <w:szCs w:val="22"/>
            </w:rPr>
          </w:pPr>
          <w:r>
            <w:rPr>
              <w:rFonts w:ascii="Arial Rounded MT Bold" w:hAnsi="Arial Rounded MT Bold" w:cs="Arial"/>
              <w:sz w:val="22"/>
              <w:szCs w:val="22"/>
            </w:rPr>
            <w:t>October 2021</w:t>
          </w:r>
        </w:p>
      </w:tc>
    </w:tr>
  </w:tbl>
  <w:p w14:paraId="043D4169" w14:textId="77777777" w:rsidR="00882FEA" w:rsidRDefault="00882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EC120" w14:textId="77777777" w:rsidR="00F70CED" w:rsidRDefault="00F70CED" w:rsidP="00F70CED">
    <w:pPr>
      <w:pStyle w:val="Header"/>
      <w:jc w:val="center"/>
      <w:rPr>
        <w:rFonts w:ascii="Arial" w:hAnsi="Arial" w:cs="Arial"/>
        <w:b/>
        <w:sz w:val="28"/>
      </w:rPr>
    </w:pPr>
    <w:r>
      <w:rPr>
        <w:rFonts w:ascii="Arial" w:hAnsi="Arial" w:cs="Arial"/>
        <w:b/>
        <w:sz w:val="28"/>
      </w:rPr>
      <w:tab/>
    </w:r>
  </w:p>
  <w:p w14:paraId="024504F9" w14:textId="77777777" w:rsidR="00F70CED" w:rsidRDefault="00F70CED" w:rsidP="00F70CED">
    <w:pPr>
      <w:pStyle w:val="Header"/>
      <w:jc w:val="center"/>
      <w:rPr>
        <w:rFonts w:ascii="Arial" w:hAnsi="Arial" w:cs="Arial"/>
        <w:b/>
        <w:sz w:val="28"/>
      </w:rPr>
    </w:pPr>
  </w:p>
  <w:p w14:paraId="7E42F95F" w14:textId="3DD3D2A6" w:rsidR="00F70CED" w:rsidRPr="008934D6" w:rsidRDefault="00F70CED" w:rsidP="00F70CED">
    <w:pPr>
      <w:pStyle w:val="Header"/>
      <w:jc w:val="center"/>
      <w:rPr>
        <w:rFonts w:ascii="Arial Rounded MT Bold" w:hAnsi="Arial Rounded MT Bold" w:cs="Arial"/>
      </w:rPr>
    </w:pPr>
    <w:r w:rsidRPr="008934D6">
      <w:rPr>
        <w:rFonts w:ascii="Arial Rounded MT Bold" w:hAnsi="Arial Rounded MT Bold" w:cs="Arial"/>
        <w:sz w:val="28"/>
      </w:rPr>
      <w:t xml:space="preserve">Joint UKBTS Professional Advisory Committee </w:t>
    </w:r>
    <w:r w:rsidRPr="008934D6">
      <w:rPr>
        <w:rFonts w:ascii="Arial Rounded MT Bold" w:hAnsi="Arial Rounded MT Bold" w:cs="Arial"/>
      </w:rPr>
      <w:t>(</w:t>
    </w:r>
    <w:r w:rsidRPr="008934D6">
      <w:rPr>
        <w:rFonts w:ascii="Arial Rounded MT Bold" w:hAnsi="Arial Rounded MT Bold" w:cs="Arial"/>
        <w:vertAlign w:val="superscript"/>
      </w:rPr>
      <w:t>1</w:t>
    </w:r>
    <w:r w:rsidRPr="008934D6">
      <w:rPr>
        <w:rFonts w:ascii="Arial Rounded MT Bold" w:hAnsi="Arial Rounded MT Bold" w:cs="Arial"/>
      </w:rPr>
      <w:t>)</w:t>
    </w:r>
    <w:r w:rsidRPr="007365D1">
      <w:rPr>
        <w:noProof/>
      </w:rPr>
      <w:t xml:space="preserve"> </w:t>
    </w:r>
  </w:p>
  <w:p w14:paraId="6A65A32D" w14:textId="77777777" w:rsidR="00F70CED" w:rsidRPr="008934D6" w:rsidRDefault="00F70CED" w:rsidP="00F70CED">
    <w:pPr>
      <w:pStyle w:val="Header"/>
      <w:jc w:val="center"/>
      <w:rPr>
        <w:rFonts w:ascii="Arial Rounded MT Bold" w:hAnsi="Arial Rounded MT Bold" w:cs="Arial"/>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9072"/>
    </w:tblGrid>
    <w:tr w:rsidR="00F70CED" w:rsidRPr="008934D6" w14:paraId="0D10D1A5" w14:textId="77777777" w:rsidTr="00BB0F4F">
      <w:tc>
        <w:tcPr>
          <w:tcW w:w="9072" w:type="dxa"/>
        </w:tcPr>
        <w:p w14:paraId="5831E451" w14:textId="77777777" w:rsidR="00F70CED" w:rsidRPr="008934D6" w:rsidRDefault="00F70CED" w:rsidP="00F70CED">
          <w:pPr>
            <w:pStyle w:val="Header"/>
            <w:spacing w:before="120" w:after="120"/>
            <w:ind w:left="340"/>
            <w:rPr>
              <w:rFonts w:ascii="Arial Rounded MT Bold" w:hAnsi="Arial Rounded MT Bold" w:cs="Arial"/>
              <w:sz w:val="22"/>
              <w:szCs w:val="22"/>
            </w:rPr>
          </w:pPr>
          <w:r w:rsidRPr="008934D6">
            <w:rPr>
              <w:rFonts w:ascii="Arial Rounded MT Bold" w:hAnsi="Arial Rounded MT Bold" w:cs="Arial"/>
              <w:sz w:val="22"/>
              <w:szCs w:val="22"/>
            </w:rPr>
            <w:t>Position Statement</w:t>
          </w:r>
        </w:p>
      </w:tc>
    </w:tr>
    <w:tr w:rsidR="00F70CED" w:rsidRPr="008934D6" w14:paraId="1FA420B8" w14:textId="77777777" w:rsidTr="00BB0F4F">
      <w:tc>
        <w:tcPr>
          <w:tcW w:w="9072" w:type="dxa"/>
        </w:tcPr>
        <w:p w14:paraId="59474EBA" w14:textId="77777777" w:rsidR="00F70CED" w:rsidRPr="008934D6" w:rsidRDefault="00F70CED" w:rsidP="00F70CED">
          <w:pPr>
            <w:pStyle w:val="Header"/>
            <w:spacing w:before="120" w:after="120"/>
            <w:ind w:left="340"/>
            <w:rPr>
              <w:rFonts w:ascii="Arial Rounded MT Bold" w:hAnsi="Arial Rounded MT Bold" w:cs="Arial"/>
              <w:sz w:val="22"/>
              <w:szCs w:val="22"/>
            </w:rPr>
          </w:pPr>
          <w:r w:rsidRPr="008934D6">
            <w:rPr>
              <w:rFonts w:ascii="Arial Rounded MT Bold" w:hAnsi="Arial Rounded MT Bold" w:cs="Arial"/>
              <w:sz w:val="22"/>
              <w:szCs w:val="22"/>
            </w:rPr>
            <w:t>West Nile Virus</w:t>
          </w:r>
        </w:p>
      </w:tc>
    </w:tr>
    <w:tr w:rsidR="00F70CED" w:rsidRPr="008934D6" w14:paraId="5AE5B80F" w14:textId="77777777" w:rsidTr="00BB0F4F">
      <w:tc>
        <w:tcPr>
          <w:tcW w:w="9072" w:type="dxa"/>
        </w:tcPr>
        <w:p w14:paraId="768802F0" w14:textId="77777777" w:rsidR="00F70CED" w:rsidRPr="008934D6" w:rsidRDefault="00F70CED" w:rsidP="00F70CED">
          <w:pPr>
            <w:pStyle w:val="Header"/>
            <w:spacing w:before="120" w:after="120"/>
            <w:ind w:left="340"/>
            <w:rPr>
              <w:rFonts w:ascii="Arial Rounded MT Bold" w:hAnsi="Arial Rounded MT Bold" w:cs="Arial"/>
              <w:sz w:val="22"/>
              <w:szCs w:val="22"/>
            </w:rPr>
          </w:pPr>
          <w:r>
            <w:rPr>
              <w:rFonts w:ascii="Arial Rounded MT Bold" w:hAnsi="Arial Rounded MT Bold" w:cs="Arial"/>
              <w:sz w:val="22"/>
              <w:szCs w:val="22"/>
            </w:rPr>
            <w:t>October 2021</w:t>
          </w:r>
        </w:p>
      </w:tc>
    </w:tr>
  </w:tbl>
  <w:p w14:paraId="39D2EF7E" w14:textId="77777777" w:rsidR="00F70CED" w:rsidRDefault="00F70CED" w:rsidP="00F70CED">
    <w:pPr>
      <w:pStyle w:val="Header"/>
    </w:pPr>
  </w:p>
  <w:p w14:paraId="2BE8D76D" w14:textId="77777777" w:rsidR="00F70CED" w:rsidRPr="00241323" w:rsidRDefault="00F70CED" w:rsidP="00F70CED">
    <w:pPr>
      <w:jc w:val="both"/>
      <w:rPr>
        <w:rFonts w:ascii="Arial" w:hAnsi="Arial" w:cs="Arial"/>
        <w:sz w:val="22"/>
        <w:szCs w:val="22"/>
      </w:rPr>
    </w:pPr>
    <w:r w:rsidRPr="00241323">
      <w:rPr>
        <w:rFonts w:ascii="Arial" w:hAnsi="Arial" w:cs="Arial"/>
        <w:b/>
        <w:i/>
        <w:sz w:val="22"/>
        <w:szCs w:val="22"/>
      </w:rPr>
      <w:t>Approved by:</w:t>
    </w:r>
    <w:r w:rsidRPr="00241323">
      <w:rPr>
        <w:rFonts w:ascii="Arial" w:hAnsi="Arial" w:cs="Arial"/>
        <w:sz w:val="22"/>
        <w:szCs w:val="22"/>
      </w:rPr>
      <w:t xml:space="preserve"> Standing Advisory Committee on Transfusion Transmitted Infections</w:t>
    </w:r>
  </w:p>
  <w:p w14:paraId="1E9D4066" w14:textId="77777777" w:rsidR="00F70CED" w:rsidRPr="00241323" w:rsidRDefault="00F70CED" w:rsidP="00F70CED">
    <w:pPr>
      <w:pStyle w:val="Heading1"/>
      <w:keepNext w:val="0"/>
      <w:widowControl/>
      <w:jc w:val="both"/>
      <w:rPr>
        <w:rFonts w:cs="Arial"/>
        <w:b w:val="0"/>
        <w:sz w:val="22"/>
        <w:szCs w:val="22"/>
      </w:rPr>
    </w:pPr>
  </w:p>
  <w:p w14:paraId="11BC4DB1" w14:textId="77777777" w:rsidR="00F70CED" w:rsidRPr="00241323" w:rsidRDefault="00F70CED" w:rsidP="00F70CED">
    <w:pPr>
      <w:pStyle w:val="BodyText2"/>
      <w:widowControl/>
      <w:jc w:val="both"/>
      <w:rPr>
        <w:rFonts w:cs="Arial"/>
        <w:szCs w:val="22"/>
      </w:rPr>
    </w:pPr>
    <w:r w:rsidRPr="00F70CED">
      <w:rPr>
        <w:rFonts w:cs="Arial"/>
        <w:szCs w:val="22"/>
        <w:u w:val="single"/>
        <w:shd w:val="clear" w:color="auto" w:fill="FFFFFF" w:themeFill="background1"/>
      </w:rPr>
      <w:t>October 2021</w:t>
    </w:r>
    <w:r w:rsidRPr="00241323">
      <w:rPr>
        <w:rFonts w:cs="Arial"/>
        <w:szCs w:val="22"/>
      </w:rPr>
      <w:t>- The contents of this document are believed to be current.  Please continue to refer to the website for in-date versions.</w:t>
    </w:r>
  </w:p>
  <w:p w14:paraId="71DF7B2F" w14:textId="6C3A78A8" w:rsidR="00882FEA" w:rsidRDefault="00882FEA" w:rsidP="00F70CED">
    <w:pPr>
      <w:pStyle w:val="Header"/>
      <w:tabs>
        <w:tab w:val="clear" w:pos="9026"/>
        <w:tab w:val="left" w:pos="6780"/>
      </w:tabs>
      <w:rPr>
        <w:rFonts w:ascii="Arial" w:hAnsi="Arial" w:cs="Arial"/>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C28F" w14:textId="77777777" w:rsidR="00882FEA" w:rsidRDefault="007365D1" w:rsidP="00096FC9">
    <w:pPr>
      <w:pStyle w:val="Header"/>
      <w:jc w:val="center"/>
      <w:rPr>
        <w:rFonts w:ascii="Arial" w:hAnsi="Arial" w:cs="Arial"/>
        <w:b/>
        <w:sz w:val="28"/>
      </w:rPr>
    </w:pPr>
    <w:r>
      <w:rPr>
        <w:noProof/>
      </w:rPr>
      <mc:AlternateContent>
        <mc:Choice Requires="wps">
          <w:drawing>
            <wp:anchor distT="0" distB="0" distL="114300" distR="114300" simplePos="0" relativeHeight="251668992" behindDoc="0" locked="0" layoutInCell="1" allowOverlap="1" wp14:anchorId="0B11A17E" wp14:editId="3E6D043D">
              <wp:simplePos x="0" y="0"/>
              <wp:positionH relativeFrom="column">
                <wp:posOffset>5032690</wp:posOffset>
              </wp:positionH>
              <wp:positionV relativeFrom="paragraph">
                <wp:posOffset>71212</wp:posOffset>
              </wp:positionV>
              <wp:extent cx="930275" cy="251460"/>
              <wp:effectExtent l="0" t="0" r="22225" b="152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51460"/>
                      </a:xfrm>
                      <a:prstGeom prst="rect">
                        <a:avLst/>
                      </a:prstGeom>
                      <a:noFill/>
                      <a:ln w="12700">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16CE88" w14:textId="77777777" w:rsidR="007365D1" w:rsidRPr="000349CF" w:rsidRDefault="00EA49D9" w:rsidP="007365D1">
                          <w:pPr>
                            <w:rPr>
                              <w:rFonts w:ascii="Arial Rounded MT Bold" w:hAnsi="Arial Rounded MT Bold"/>
                              <w:color w:val="C00000"/>
                              <w:sz w:val="20"/>
                            </w:rPr>
                          </w:pPr>
                          <w:r>
                            <w:rPr>
                              <w:rFonts w:ascii="Arial Rounded MT Bold" w:hAnsi="Arial Rounded MT Bold"/>
                              <w:color w:val="C00000"/>
                              <w:sz w:val="20"/>
                            </w:rPr>
                            <w:t>SACTTI 21-</w:t>
                          </w:r>
                          <w:r w:rsidR="004972EC">
                            <w:rPr>
                              <w:rFonts w:ascii="Arial Rounded MT Bold" w:hAnsi="Arial Rounded MT Bold"/>
                              <w:color w:val="C00000"/>
                              <w:sz w:val="20"/>
                            </w:rPr>
                            <w:t>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11A17E" id="_x0000_t202" coordsize="21600,21600" o:spt="202" path="m,l,21600r21600,l21600,xe">
              <v:stroke joinstyle="miter"/>
              <v:path gradientshapeok="t" o:connecttype="rect"/>
            </v:shapetype>
            <v:shape id="Text Box 3" o:spid="_x0000_s1026" type="#_x0000_t202" style="position:absolute;left:0;text-align:left;margin-left:396.25pt;margin-top:5.6pt;width:73.25pt;height:1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XQJwIAACcEAAAOAAAAZHJzL2Uyb0RvYy54bWysU8tu2zAQvBfoPxC815IVO04Ey0HqNEWB&#10;9AEk/QCKoiyiFJdd0pbSr++SchyjvRXVQSC5y9nZmeX6ZuwNOyj0GmzF57OcM2UlNNruKv796f7d&#10;FWc+CNsIA1ZV/Fl5frN5+2Y9uFIV0IFpFDICsb4cXMW7EFyZZV52qhd+Bk5ZCraAvQi0xV3WoBgI&#10;vTdZkeeX2QDYOASpvKfTuynINwm/bZUMX9vWq8BMxYlbSH9M/zr+s81alDsUrtPySEP8A4teaEtF&#10;T1B3Igi2R/0XVK8lgoc2zCT0GbStlir1QN3M8z+6eeyEU6kXEse7k0z+/8HKL4dvyHRT8RVnVvRk&#10;0ZMaA3sPI7uI6gzOl5T06CgtjHRMLqdOvXsA+cMzC9tO2J26RYShU6IhdvN4Mzu7OuH4CFIPn6Gh&#10;MmIfIAGNLfZROhKDETq59HxyJlKRdHh9kRerJWeSQsVyvrhMzmWifLns0IePCnoWFxVHMj6Bi8OD&#10;D5GMKF9SYi0L99qYZL6xbCDGxSrPp77A6CZGY57HXb01yA6C5mebxy+1RpHztF4HmmKj+4pfnZJE&#10;GdX4YJtUJghtpjVRMfYoT1Rk0iaM9UiJUbMammcSCmGaVnpdtOgAf3E20KRW3P/cC1ScmU+WxL6e&#10;LxZxtNNmsVwVtMHzSH0eEVYSVMUDZ9NyG6bnsHeodx1Vmuy1cEsGtTqJ98rqyJumMWl6fDlx3M/3&#10;Kev1fW9+AwAA//8DAFBLAwQUAAYACAAAACEA86M9Ht8AAAAJAQAADwAAAGRycy9kb3ducmV2Lnht&#10;bEyPQUvDQBCF74L/YRnBm900pZrEbIoIRdGDtIpeN9kxG5qdDdltG/vrO570OLyPN98rV5PrxQHH&#10;0HlSMJ8lIJAabzpqFXy8r28yECFqMrr3hAp+MMCqurwodWH8kTZ42MZWcAmFQiuwMQ6FlKGx6HSY&#10;+QGJs28/Oh35HFtpRn3kctfLNElupdMd8QerB3y02Oy2e6egMy+n5/bL7kyNi+x1/fS2mT6lUtdX&#10;08M9iIhT/IPhV5/VoWKn2u/JBNEruMvTJaMczFMQDOSLnMfVCpZJBrIq5f8F1RkAAP//AwBQSwEC&#10;LQAUAAYACAAAACEAtoM4kv4AAADhAQAAEwAAAAAAAAAAAAAAAAAAAAAAW0NvbnRlbnRfVHlwZXNd&#10;LnhtbFBLAQItABQABgAIAAAAIQA4/SH/1gAAAJQBAAALAAAAAAAAAAAAAAAAAC8BAABfcmVscy8u&#10;cmVsc1BLAQItABQABgAIAAAAIQApocXQJwIAACcEAAAOAAAAAAAAAAAAAAAAAC4CAABkcnMvZTJv&#10;RG9jLnhtbFBLAQItABQABgAIAAAAIQDzoz0e3wAAAAkBAAAPAAAAAAAAAAAAAAAAAIEEAABkcnMv&#10;ZG93bnJldi54bWxQSwUGAAAAAAQABADzAAAAjQUAAAAA&#10;" filled="f" strokecolor="#c00000" strokeweight="1pt">
              <v:textbox>
                <w:txbxContent>
                  <w:p w14:paraId="6316CE88" w14:textId="77777777" w:rsidR="007365D1" w:rsidRPr="000349CF" w:rsidRDefault="00EA49D9" w:rsidP="007365D1">
                    <w:pPr>
                      <w:rPr>
                        <w:rFonts w:ascii="Arial Rounded MT Bold" w:hAnsi="Arial Rounded MT Bold"/>
                        <w:color w:val="C00000"/>
                        <w:sz w:val="20"/>
                      </w:rPr>
                    </w:pPr>
                    <w:r>
                      <w:rPr>
                        <w:rFonts w:ascii="Arial Rounded MT Bold" w:hAnsi="Arial Rounded MT Bold"/>
                        <w:color w:val="C00000"/>
                        <w:sz w:val="20"/>
                      </w:rPr>
                      <w:t>SACTTI 21-</w:t>
                    </w:r>
                    <w:r w:rsidR="004972EC">
                      <w:rPr>
                        <w:rFonts w:ascii="Arial Rounded MT Bold" w:hAnsi="Arial Rounded MT Bold"/>
                        <w:color w:val="C00000"/>
                        <w:sz w:val="20"/>
                      </w:rPr>
                      <w:t>62</w:t>
                    </w:r>
                  </w:p>
                </w:txbxContent>
              </v:textbox>
            </v:shape>
          </w:pict>
        </mc:Fallback>
      </mc:AlternateContent>
    </w:r>
  </w:p>
  <w:p w14:paraId="6763E50D" w14:textId="77777777" w:rsidR="00882FEA" w:rsidRDefault="0088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2750B"/>
    <w:multiLevelType w:val="hybridMultilevel"/>
    <w:tmpl w:val="D11CC15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312213D5"/>
    <w:multiLevelType w:val="hybridMultilevel"/>
    <w:tmpl w:val="F60E2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C6E31"/>
    <w:multiLevelType w:val="multilevel"/>
    <w:tmpl w:val="24C2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F62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34C2D40"/>
    <w:multiLevelType w:val="hybridMultilevel"/>
    <w:tmpl w:val="4ACA913A"/>
    <w:lvl w:ilvl="0" w:tplc="D18C97F2">
      <w:start w:val="1"/>
      <w:numFmt w:val="bullet"/>
      <w:lvlText w:val="•"/>
      <w:lvlJc w:val="left"/>
      <w:pPr>
        <w:tabs>
          <w:tab w:val="num" w:pos="720"/>
        </w:tabs>
        <w:ind w:left="720" w:hanging="360"/>
      </w:pPr>
      <w:rPr>
        <w:rFonts w:ascii="Times New Roman" w:hAnsi="Times New Roman" w:hint="default"/>
      </w:rPr>
    </w:lvl>
    <w:lvl w:ilvl="1" w:tplc="B1081424" w:tentative="1">
      <w:start w:val="1"/>
      <w:numFmt w:val="bullet"/>
      <w:lvlText w:val="•"/>
      <w:lvlJc w:val="left"/>
      <w:pPr>
        <w:tabs>
          <w:tab w:val="num" w:pos="1440"/>
        </w:tabs>
        <w:ind w:left="1440" w:hanging="360"/>
      </w:pPr>
      <w:rPr>
        <w:rFonts w:ascii="Times New Roman" w:hAnsi="Times New Roman" w:hint="default"/>
      </w:rPr>
    </w:lvl>
    <w:lvl w:ilvl="2" w:tplc="F03CF0C8" w:tentative="1">
      <w:start w:val="1"/>
      <w:numFmt w:val="bullet"/>
      <w:lvlText w:val="•"/>
      <w:lvlJc w:val="left"/>
      <w:pPr>
        <w:tabs>
          <w:tab w:val="num" w:pos="2160"/>
        </w:tabs>
        <w:ind w:left="2160" w:hanging="360"/>
      </w:pPr>
      <w:rPr>
        <w:rFonts w:ascii="Times New Roman" w:hAnsi="Times New Roman" w:hint="default"/>
      </w:rPr>
    </w:lvl>
    <w:lvl w:ilvl="3" w:tplc="EC5ADC6C" w:tentative="1">
      <w:start w:val="1"/>
      <w:numFmt w:val="bullet"/>
      <w:lvlText w:val="•"/>
      <w:lvlJc w:val="left"/>
      <w:pPr>
        <w:tabs>
          <w:tab w:val="num" w:pos="2880"/>
        </w:tabs>
        <w:ind w:left="2880" w:hanging="360"/>
      </w:pPr>
      <w:rPr>
        <w:rFonts w:ascii="Times New Roman" w:hAnsi="Times New Roman" w:hint="default"/>
      </w:rPr>
    </w:lvl>
    <w:lvl w:ilvl="4" w:tplc="AE00AE40" w:tentative="1">
      <w:start w:val="1"/>
      <w:numFmt w:val="bullet"/>
      <w:lvlText w:val="•"/>
      <w:lvlJc w:val="left"/>
      <w:pPr>
        <w:tabs>
          <w:tab w:val="num" w:pos="3600"/>
        </w:tabs>
        <w:ind w:left="3600" w:hanging="360"/>
      </w:pPr>
      <w:rPr>
        <w:rFonts w:ascii="Times New Roman" w:hAnsi="Times New Roman" w:hint="default"/>
      </w:rPr>
    </w:lvl>
    <w:lvl w:ilvl="5" w:tplc="5752789A" w:tentative="1">
      <w:start w:val="1"/>
      <w:numFmt w:val="bullet"/>
      <w:lvlText w:val="•"/>
      <w:lvlJc w:val="left"/>
      <w:pPr>
        <w:tabs>
          <w:tab w:val="num" w:pos="4320"/>
        </w:tabs>
        <w:ind w:left="4320" w:hanging="360"/>
      </w:pPr>
      <w:rPr>
        <w:rFonts w:ascii="Times New Roman" w:hAnsi="Times New Roman" w:hint="default"/>
      </w:rPr>
    </w:lvl>
    <w:lvl w:ilvl="6" w:tplc="128A9160" w:tentative="1">
      <w:start w:val="1"/>
      <w:numFmt w:val="bullet"/>
      <w:lvlText w:val="•"/>
      <w:lvlJc w:val="left"/>
      <w:pPr>
        <w:tabs>
          <w:tab w:val="num" w:pos="5040"/>
        </w:tabs>
        <w:ind w:left="5040" w:hanging="360"/>
      </w:pPr>
      <w:rPr>
        <w:rFonts w:ascii="Times New Roman" w:hAnsi="Times New Roman" w:hint="default"/>
      </w:rPr>
    </w:lvl>
    <w:lvl w:ilvl="7" w:tplc="B4C6C044" w:tentative="1">
      <w:start w:val="1"/>
      <w:numFmt w:val="bullet"/>
      <w:lvlText w:val="•"/>
      <w:lvlJc w:val="left"/>
      <w:pPr>
        <w:tabs>
          <w:tab w:val="num" w:pos="5760"/>
        </w:tabs>
        <w:ind w:left="5760" w:hanging="360"/>
      </w:pPr>
      <w:rPr>
        <w:rFonts w:ascii="Times New Roman" w:hAnsi="Times New Roman" w:hint="default"/>
      </w:rPr>
    </w:lvl>
    <w:lvl w:ilvl="8" w:tplc="93EE932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876381"/>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EA"/>
    <w:rsid w:val="00012D21"/>
    <w:rsid w:val="000368E9"/>
    <w:rsid w:val="000440A4"/>
    <w:rsid w:val="00047E7B"/>
    <w:rsid w:val="00056191"/>
    <w:rsid w:val="00060B5B"/>
    <w:rsid w:val="00067F85"/>
    <w:rsid w:val="00073C70"/>
    <w:rsid w:val="00096FC9"/>
    <w:rsid w:val="000B609B"/>
    <w:rsid w:val="000C75F9"/>
    <w:rsid w:val="000D4151"/>
    <w:rsid w:val="0010247F"/>
    <w:rsid w:val="00104616"/>
    <w:rsid w:val="00111B44"/>
    <w:rsid w:val="0011337D"/>
    <w:rsid w:val="0013675C"/>
    <w:rsid w:val="00140189"/>
    <w:rsid w:val="001609F8"/>
    <w:rsid w:val="00162D04"/>
    <w:rsid w:val="00177B50"/>
    <w:rsid w:val="00185100"/>
    <w:rsid w:val="001955B6"/>
    <w:rsid w:val="001B2300"/>
    <w:rsid w:val="001B6EDF"/>
    <w:rsid w:val="001C140E"/>
    <w:rsid w:val="001C72ED"/>
    <w:rsid w:val="001D151C"/>
    <w:rsid w:val="001E6162"/>
    <w:rsid w:val="001F2DD5"/>
    <w:rsid w:val="002127D6"/>
    <w:rsid w:val="0021642B"/>
    <w:rsid w:val="00227D2A"/>
    <w:rsid w:val="00241323"/>
    <w:rsid w:val="002522F8"/>
    <w:rsid w:val="00255C9A"/>
    <w:rsid w:val="002655D4"/>
    <w:rsid w:val="0026650A"/>
    <w:rsid w:val="0027561B"/>
    <w:rsid w:val="002A3D44"/>
    <w:rsid w:val="002B2EBA"/>
    <w:rsid w:val="002E5C6F"/>
    <w:rsid w:val="002F1F0A"/>
    <w:rsid w:val="002F6C5E"/>
    <w:rsid w:val="002F6DBA"/>
    <w:rsid w:val="0037204D"/>
    <w:rsid w:val="00372531"/>
    <w:rsid w:val="00377D2F"/>
    <w:rsid w:val="003847EE"/>
    <w:rsid w:val="0039229C"/>
    <w:rsid w:val="00396330"/>
    <w:rsid w:val="003C41E0"/>
    <w:rsid w:val="003D0A47"/>
    <w:rsid w:val="003E04C7"/>
    <w:rsid w:val="003E0FBB"/>
    <w:rsid w:val="00400DEE"/>
    <w:rsid w:val="00434E9D"/>
    <w:rsid w:val="00482534"/>
    <w:rsid w:val="00483706"/>
    <w:rsid w:val="00487F5F"/>
    <w:rsid w:val="004938BC"/>
    <w:rsid w:val="004972EC"/>
    <w:rsid w:val="004A4993"/>
    <w:rsid w:val="004B75E1"/>
    <w:rsid w:val="004C153C"/>
    <w:rsid w:val="004C6FD5"/>
    <w:rsid w:val="004E6B96"/>
    <w:rsid w:val="00510664"/>
    <w:rsid w:val="0051401B"/>
    <w:rsid w:val="005325F8"/>
    <w:rsid w:val="005400B6"/>
    <w:rsid w:val="005408A2"/>
    <w:rsid w:val="00582104"/>
    <w:rsid w:val="00591FCE"/>
    <w:rsid w:val="005A0FFB"/>
    <w:rsid w:val="005B67D7"/>
    <w:rsid w:val="005C55FA"/>
    <w:rsid w:val="005C5DC0"/>
    <w:rsid w:val="005F02F0"/>
    <w:rsid w:val="005F276F"/>
    <w:rsid w:val="005F35F2"/>
    <w:rsid w:val="005F65CE"/>
    <w:rsid w:val="00607684"/>
    <w:rsid w:val="006154F1"/>
    <w:rsid w:val="00631905"/>
    <w:rsid w:val="00633EAA"/>
    <w:rsid w:val="006340B0"/>
    <w:rsid w:val="00634E19"/>
    <w:rsid w:val="0064209C"/>
    <w:rsid w:val="006B48BB"/>
    <w:rsid w:val="006C3639"/>
    <w:rsid w:val="006D41F7"/>
    <w:rsid w:val="0070183D"/>
    <w:rsid w:val="0070193E"/>
    <w:rsid w:val="00712B90"/>
    <w:rsid w:val="00723AE1"/>
    <w:rsid w:val="00725138"/>
    <w:rsid w:val="00733C18"/>
    <w:rsid w:val="007365D1"/>
    <w:rsid w:val="00736863"/>
    <w:rsid w:val="0074064F"/>
    <w:rsid w:val="00744B6E"/>
    <w:rsid w:val="00751C92"/>
    <w:rsid w:val="00782505"/>
    <w:rsid w:val="007A43F6"/>
    <w:rsid w:val="007C32CC"/>
    <w:rsid w:val="007C67EF"/>
    <w:rsid w:val="007D0CED"/>
    <w:rsid w:val="007D22D1"/>
    <w:rsid w:val="007E380E"/>
    <w:rsid w:val="008003EA"/>
    <w:rsid w:val="008104FC"/>
    <w:rsid w:val="00811563"/>
    <w:rsid w:val="00835EA2"/>
    <w:rsid w:val="00846558"/>
    <w:rsid w:val="00882FEA"/>
    <w:rsid w:val="008934D6"/>
    <w:rsid w:val="008D46B9"/>
    <w:rsid w:val="008E2AC5"/>
    <w:rsid w:val="00900ADE"/>
    <w:rsid w:val="009239CB"/>
    <w:rsid w:val="00931CD8"/>
    <w:rsid w:val="0093203B"/>
    <w:rsid w:val="0093750C"/>
    <w:rsid w:val="00946F86"/>
    <w:rsid w:val="0098426F"/>
    <w:rsid w:val="009A42FD"/>
    <w:rsid w:val="009A7634"/>
    <w:rsid w:val="009B04C8"/>
    <w:rsid w:val="009C38DC"/>
    <w:rsid w:val="009F07CE"/>
    <w:rsid w:val="00A060C7"/>
    <w:rsid w:val="00A163E9"/>
    <w:rsid w:val="00A25801"/>
    <w:rsid w:val="00A332D0"/>
    <w:rsid w:val="00A410D3"/>
    <w:rsid w:val="00A44767"/>
    <w:rsid w:val="00A50484"/>
    <w:rsid w:val="00A62B26"/>
    <w:rsid w:val="00A76611"/>
    <w:rsid w:val="00A82042"/>
    <w:rsid w:val="00A931CE"/>
    <w:rsid w:val="00AA769E"/>
    <w:rsid w:val="00AB03EF"/>
    <w:rsid w:val="00AB448D"/>
    <w:rsid w:val="00AC3512"/>
    <w:rsid w:val="00AC5883"/>
    <w:rsid w:val="00AC7221"/>
    <w:rsid w:val="00AD0894"/>
    <w:rsid w:val="00AD5B7C"/>
    <w:rsid w:val="00AD6B60"/>
    <w:rsid w:val="00AD6C47"/>
    <w:rsid w:val="00AE08B8"/>
    <w:rsid w:val="00B205AE"/>
    <w:rsid w:val="00B57708"/>
    <w:rsid w:val="00B91B78"/>
    <w:rsid w:val="00B91F0E"/>
    <w:rsid w:val="00BD0C19"/>
    <w:rsid w:val="00BD43EF"/>
    <w:rsid w:val="00BD7A9C"/>
    <w:rsid w:val="00BE0326"/>
    <w:rsid w:val="00BE1B37"/>
    <w:rsid w:val="00BF01DD"/>
    <w:rsid w:val="00BF29F0"/>
    <w:rsid w:val="00BF7838"/>
    <w:rsid w:val="00C14D35"/>
    <w:rsid w:val="00C220E0"/>
    <w:rsid w:val="00C2533A"/>
    <w:rsid w:val="00C43C3F"/>
    <w:rsid w:val="00C63890"/>
    <w:rsid w:val="00C65BD0"/>
    <w:rsid w:val="00CA291D"/>
    <w:rsid w:val="00CA65DC"/>
    <w:rsid w:val="00CF1431"/>
    <w:rsid w:val="00D059B2"/>
    <w:rsid w:val="00D33C2E"/>
    <w:rsid w:val="00D52D74"/>
    <w:rsid w:val="00D637E4"/>
    <w:rsid w:val="00D66895"/>
    <w:rsid w:val="00DA5489"/>
    <w:rsid w:val="00DA55E1"/>
    <w:rsid w:val="00DB10D6"/>
    <w:rsid w:val="00DB5F0D"/>
    <w:rsid w:val="00DC006F"/>
    <w:rsid w:val="00DC340C"/>
    <w:rsid w:val="00DC3F8D"/>
    <w:rsid w:val="00DF5D87"/>
    <w:rsid w:val="00E21D29"/>
    <w:rsid w:val="00E24E10"/>
    <w:rsid w:val="00E37274"/>
    <w:rsid w:val="00E44A9B"/>
    <w:rsid w:val="00E677F1"/>
    <w:rsid w:val="00E728E8"/>
    <w:rsid w:val="00E83AA8"/>
    <w:rsid w:val="00EA01FD"/>
    <w:rsid w:val="00EA49D9"/>
    <w:rsid w:val="00EB6D0A"/>
    <w:rsid w:val="00EC0F37"/>
    <w:rsid w:val="00EC12DB"/>
    <w:rsid w:val="00EF6FA9"/>
    <w:rsid w:val="00EF709D"/>
    <w:rsid w:val="00F04F40"/>
    <w:rsid w:val="00F067CD"/>
    <w:rsid w:val="00F0759F"/>
    <w:rsid w:val="00F17F23"/>
    <w:rsid w:val="00F3407B"/>
    <w:rsid w:val="00F44D79"/>
    <w:rsid w:val="00F5442C"/>
    <w:rsid w:val="00F70CED"/>
    <w:rsid w:val="00F717AF"/>
    <w:rsid w:val="00F737A5"/>
    <w:rsid w:val="00F82D07"/>
    <w:rsid w:val="00FB1088"/>
    <w:rsid w:val="00FC6D54"/>
    <w:rsid w:val="00FF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44134"/>
  <w15:docId w15:val="{B418A85D-F773-4EAE-BEE0-9F8D21A6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3EA"/>
    <w:rPr>
      <w:sz w:val="24"/>
      <w:szCs w:val="24"/>
    </w:rPr>
  </w:style>
  <w:style w:type="paragraph" w:styleId="Heading1">
    <w:name w:val="heading 1"/>
    <w:basedOn w:val="Normal"/>
    <w:next w:val="Normal"/>
    <w:link w:val="Heading1Char"/>
    <w:qFormat/>
    <w:rsid w:val="00A410D3"/>
    <w:pPr>
      <w:keepNext/>
      <w:widowControl w:val="0"/>
      <w:tabs>
        <w:tab w:val="left" w:pos="284"/>
      </w:tabs>
      <w:outlineLvl w:val="0"/>
    </w:pPr>
    <w:rPr>
      <w:rFonts w:ascii="Arial" w:hAnsi="Arial"/>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9F07CE"/>
  </w:style>
  <w:style w:type="paragraph" w:styleId="Footer">
    <w:name w:val="footer"/>
    <w:basedOn w:val="Normal"/>
    <w:link w:val="FooterChar"/>
    <w:uiPriority w:val="99"/>
    <w:rsid w:val="00BD7A9C"/>
    <w:pPr>
      <w:tabs>
        <w:tab w:val="center" w:pos="4153"/>
        <w:tab w:val="right" w:pos="8306"/>
      </w:tabs>
    </w:pPr>
  </w:style>
  <w:style w:type="character" w:styleId="PageNumber">
    <w:name w:val="page number"/>
    <w:basedOn w:val="DefaultParagraphFont"/>
    <w:rsid w:val="00BD7A9C"/>
  </w:style>
  <w:style w:type="paragraph" w:styleId="BalloonText">
    <w:name w:val="Balloon Text"/>
    <w:basedOn w:val="Normal"/>
    <w:link w:val="BalloonTextChar"/>
    <w:rsid w:val="00A332D0"/>
    <w:rPr>
      <w:rFonts w:ascii="Tahoma" w:hAnsi="Tahoma"/>
      <w:sz w:val="16"/>
      <w:szCs w:val="16"/>
    </w:rPr>
  </w:style>
  <w:style w:type="character" w:customStyle="1" w:styleId="BalloonTextChar">
    <w:name w:val="Balloon Text Char"/>
    <w:link w:val="BalloonText"/>
    <w:rsid w:val="00A332D0"/>
    <w:rPr>
      <w:rFonts w:ascii="Tahoma" w:hAnsi="Tahoma" w:cs="Tahoma"/>
      <w:sz w:val="16"/>
      <w:szCs w:val="16"/>
    </w:rPr>
  </w:style>
  <w:style w:type="paragraph" w:styleId="Header">
    <w:name w:val="header"/>
    <w:basedOn w:val="Normal"/>
    <w:link w:val="HeaderChar"/>
    <w:rsid w:val="00A410D3"/>
    <w:pPr>
      <w:tabs>
        <w:tab w:val="center" w:pos="4513"/>
        <w:tab w:val="right" w:pos="9026"/>
      </w:tabs>
    </w:pPr>
  </w:style>
  <w:style w:type="character" w:customStyle="1" w:styleId="HeaderChar">
    <w:name w:val="Header Char"/>
    <w:link w:val="Header"/>
    <w:rsid w:val="00A410D3"/>
    <w:rPr>
      <w:sz w:val="24"/>
      <w:szCs w:val="24"/>
    </w:rPr>
  </w:style>
  <w:style w:type="character" w:customStyle="1" w:styleId="Heading1Char">
    <w:name w:val="Heading 1 Char"/>
    <w:link w:val="Heading1"/>
    <w:rsid w:val="00A410D3"/>
    <w:rPr>
      <w:rFonts w:ascii="Arial" w:hAnsi="Arial"/>
      <w:b/>
      <w:sz w:val="24"/>
      <w:u w:val="single"/>
      <w:lang w:eastAsia="en-US"/>
    </w:rPr>
  </w:style>
  <w:style w:type="paragraph" w:styleId="BodyText2">
    <w:name w:val="Body Text 2"/>
    <w:basedOn w:val="Normal"/>
    <w:link w:val="BodyText2Char"/>
    <w:rsid w:val="00A410D3"/>
    <w:pPr>
      <w:widowControl w:val="0"/>
    </w:pPr>
    <w:rPr>
      <w:rFonts w:ascii="Arial" w:hAnsi="Arial"/>
      <w:b/>
      <w:i/>
      <w:sz w:val="22"/>
      <w:szCs w:val="20"/>
      <w:lang w:eastAsia="en-US"/>
    </w:rPr>
  </w:style>
  <w:style w:type="character" w:customStyle="1" w:styleId="BodyText2Char">
    <w:name w:val="Body Text 2 Char"/>
    <w:link w:val="BodyText2"/>
    <w:rsid w:val="00A410D3"/>
    <w:rPr>
      <w:rFonts w:ascii="Arial" w:hAnsi="Arial"/>
      <w:b/>
      <w:i/>
      <w:sz w:val="22"/>
      <w:lang w:eastAsia="en-US"/>
    </w:rPr>
  </w:style>
  <w:style w:type="paragraph" w:styleId="BodyText">
    <w:name w:val="Body Text"/>
    <w:basedOn w:val="Normal"/>
    <w:link w:val="BodyTextChar"/>
    <w:rsid w:val="0074064F"/>
    <w:pPr>
      <w:spacing w:after="120"/>
    </w:pPr>
  </w:style>
  <w:style w:type="character" w:customStyle="1" w:styleId="BodyTextChar">
    <w:name w:val="Body Text Char"/>
    <w:link w:val="BodyText"/>
    <w:rsid w:val="0074064F"/>
    <w:rPr>
      <w:sz w:val="24"/>
      <w:szCs w:val="24"/>
    </w:rPr>
  </w:style>
  <w:style w:type="paragraph" w:styleId="NormalWeb">
    <w:name w:val="Normal (Web)"/>
    <w:basedOn w:val="Normal"/>
    <w:uiPriority w:val="99"/>
    <w:rsid w:val="005B67D7"/>
    <w:pPr>
      <w:spacing w:before="100" w:beforeAutospacing="1" w:after="100" w:afterAutospacing="1"/>
    </w:pPr>
  </w:style>
  <w:style w:type="character" w:styleId="Strong">
    <w:name w:val="Strong"/>
    <w:qFormat/>
    <w:rsid w:val="005B67D7"/>
    <w:rPr>
      <w:b/>
      <w:bCs/>
    </w:rPr>
  </w:style>
  <w:style w:type="character" w:styleId="CommentReference">
    <w:name w:val="annotation reference"/>
    <w:rsid w:val="005B67D7"/>
    <w:rPr>
      <w:sz w:val="16"/>
      <w:szCs w:val="16"/>
    </w:rPr>
  </w:style>
  <w:style w:type="paragraph" w:styleId="CommentText">
    <w:name w:val="annotation text"/>
    <w:basedOn w:val="Normal"/>
    <w:link w:val="CommentTextChar"/>
    <w:rsid w:val="005B67D7"/>
    <w:rPr>
      <w:sz w:val="20"/>
      <w:szCs w:val="20"/>
    </w:rPr>
  </w:style>
  <w:style w:type="character" w:customStyle="1" w:styleId="CommentTextChar">
    <w:name w:val="Comment Text Char"/>
    <w:basedOn w:val="DefaultParagraphFont"/>
    <w:link w:val="CommentText"/>
    <w:rsid w:val="005B67D7"/>
  </w:style>
  <w:style w:type="character" w:styleId="Hyperlink">
    <w:name w:val="Hyperlink"/>
    <w:rsid w:val="00255C9A"/>
    <w:rPr>
      <w:rFonts w:ascii="Arial" w:hAnsi="Arial" w:cs="Arial" w:hint="default"/>
      <w:b w:val="0"/>
      <w:bCs w:val="0"/>
      <w:color w:val="000000"/>
      <w:sz w:val="15"/>
      <w:szCs w:val="15"/>
      <w:u w:val="single"/>
    </w:rPr>
  </w:style>
  <w:style w:type="character" w:customStyle="1" w:styleId="apple-converted-space">
    <w:name w:val="apple-converted-space"/>
    <w:basedOn w:val="DefaultParagraphFont"/>
    <w:rsid w:val="00255C9A"/>
  </w:style>
  <w:style w:type="paragraph" w:styleId="NoSpacing">
    <w:name w:val="No Spacing"/>
    <w:link w:val="NoSpacingChar"/>
    <w:uiPriority w:val="1"/>
    <w:qFormat/>
    <w:rsid w:val="00140189"/>
    <w:rPr>
      <w:rFonts w:ascii="Calibri" w:hAnsi="Calibri"/>
      <w:sz w:val="22"/>
      <w:szCs w:val="22"/>
      <w:lang w:val="en-US" w:eastAsia="en-US"/>
    </w:rPr>
  </w:style>
  <w:style w:type="character" w:customStyle="1" w:styleId="NoSpacingChar">
    <w:name w:val="No Spacing Char"/>
    <w:link w:val="NoSpacing"/>
    <w:uiPriority w:val="1"/>
    <w:rsid w:val="00140189"/>
    <w:rPr>
      <w:rFonts w:ascii="Calibri" w:hAnsi="Calibri"/>
      <w:sz w:val="22"/>
      <w:szCs w:val="22"/>
      <w:lang w:val="en-US" w:eastAsia="en-US" w:bidi="ar-SA"/>
    </w:rPr>
  </w:style>
  <w:style w:type="character" w:customStyle="1" w:styleId="FooterChar">
    <w:name w:val="Footer Char"/>
    <w:link w:val="Footer"/>
    <w:uiPriority w:val="99"/>
    <w:rsid w:val="00096FC9"/>
    <w:rPr>
      <w:sz w:val="24"/>
      <w:szCs w:val="24"/>
    </w:rPr>
  </w:style>
  <w:style w:type="paragraph" w:styleId="Revision">
    <w:name w:val="Revision"/>
    <w:hidden/>
    <w:uiPriority w:val="99"/>
    <w:semiHidden/>
    <w:rsid w:val="00607684"/>
    <w:rPr>
      <w:sz w:val="24"/>
      <w:szCs w:val="24"/>
    </w:rPr>
  </w:style>
  <w:style w:type="character" w:styleId="FollowedHyperlink">
    <w:name w:val="FollowedHyperlink"/>
    <w:basedOn w:val="DefaultParagraphFont"/>
    <w:semiHidden/>
    <w:unhideWhenUsed/>
    <w:rsid w:val="00A16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06466">
      <w:bodyDiv w:val="1"/>
      <w:marLeft w:val="0"/>
      <w:marRight w:val="0"/>
      <w:marTop w:val="0"/>
      <w:marBottom w:val="0"/>
      <w:divBdr>
        <w:top w:val="none" w:sz="0" w:space="0" w:color="auto"/>
        <w:left w:val="none" w:sz="0" w:space="0" w:color="auto"/>
        <w:bottom w:val="none" w:sz="0" w:space="0" w:color="auto"/>
        <w:right w:val="none" w:sz="0" w:space="0" w:color="auto"/>
      </w:divBdr>
      <w:divsChild>
        <w:div w:id="39136518">
          <w:marLeft w:val="0"/>
          <w:marRight w:val="0"/>
          <w:marTop w:val="0"/>
          <w:marBottom w:val="0"/>
          <w:divBdr>
            <w:top w:val="none" w:sz="0" w:space="0" w:color="auto"/>
            <w:left w:val="none" w:sz="0" w:space="0" w:color="auto"/>
            <w:bottom w:val="none" w:sz="0" w:space="0" w:color="auto"/>
            <w:right w:val="none" w:sz="0" w:space="0" w:color="auto"/>
          </w:divBdr>
        </w:div>
        <w:div w:id="151261360">
          <w:marLeft w:val="0"/>
          <w:marRight w:val="0"/>
          <w:marTop w:val="0"/>
          <w:marBottom w:val="0"/>
          <w:divBdr>
            <w:top w:val="none" w:sz="0" w:space="0" w:color="auto"/>
            <w:left w:val="none" w:sz="0" w:space="0" w:color="auto"/>
            <w:bottom w:val="none" w:sz="0" w:space="0" w:color="auto"/>
            <w:right w:val="none" w:sz="0" w:space="0" w:color="auto"/>
          </w:divBdr>
        </w:div>
        <w:div w:id="234704923">
          <w:marLeft w:val="0"/>
          <w:marRight w:val="0"/>
          <w:marTop w:val="0"/>
          <w:marBottom w:val="0"/>
          <w:divBdr>
            <w:top w:val="none" w:sz="0" w:space="0" w:color="auto"/>
            <w:left w:val="none" w:sz="0" w:space="0" w:color="auto"/>
            <w:bottom w:val="none" w:sz="0" w:space="0" w:color="auto"/>
            <w:right w:val="none" w:sz="0" w:space="0" w:color="auto"/>
          </w:divBdr>
        </w:div>
        <w:div w:id="473372111">
          <w:marLeft w:val="0"/>
          <w:marRight w:val="0"/>
          <w:marTop w:val="0"/>
          <w:marBottom w:val="0"/>
          <w:divBdr>
            <w:top w:val="none" w:sz="0" w:space="0" w:color="auto"/>
            <w:left w:val="none" w:sz="0" w:space="0" w:color="auto"/>
            <w:bottom w:val="none" w:sz="0" w:space="0" w:color="auto"/>
            <w:right w:val="none" w:sz="0" w:space="0" w:color="auto"/>
          </w:divBdr>
        </w:div>
        <w:div w:id="1050499884">
          <w:marLeft w:val="0"/>
          <w:marRight w:val="0"/>
          <w:marTop w:val="0"/>
          <w:marBottom w:val="0"/>
          <w:divBdr>
            <w:top w:val="none" w:sz="0" w:space="0" w:color="auto"/>
            <w:left w:val="none" w:sz="0" w:space="0" w:color="auto"/>
            <w:bottom w:val="none" w:sz="0" w:space="0" w:color="auto"/>
            <w:right w:val="none" w:sz="0" w:space="0" w:color="auto"/>
          </w:divBdr>
        </w:div>
        <w:div w:id="1093160816">
          <w:marLeft w:val="0"/>
          <w:marRight w:val="0"/>
          <w:marTop w:val="0"/>
          <w:marBottom w:val="0"/>
          <w:divBdr>
            <w:top w:val="none" w:sz="0" w:space="0" w:color="auto"/>
            <w:left w:val="none" w:sz="0" w:space="0" w:color="auto"/>
            <w:bottom w:val="none" w:sz="0" w:space="0" w:color="auto"/>
            <w:right w:val="none" w:sz="0" w:space="0" w:color="auto"/>
          </w:divBdr>
        </w:div>
        <w:div w:id="1124160114">
          <w:marLeft w:val="0"/>
          <w:marRight w:val="0"/>
          <w:marTop w:val="0"/>
          <w:marBottom w:val="0"/>
          <w:divBdr>
            <w:top w:val="none" w:sz="0" w:space="0" w:color="auto"/>
            <w:left w:val="none" w:sz="0" w:space="0" w:color="auto"/>
            <w:bottom w:val="none" w:sz="0" w:space="0" w:color="auto"/>
            <w:right w:val="none" w:sz="0" w:space="0" w:color="auto"/>
          </w:divBdr>
        </w:div>
        <w:div w:id="1125392700">
          <w:marLeft w:val="0"/>
          <w:marRight w:val="0"/>
          <w:marTop w:val="0"/>
          <w:marBottom w:val="0"/>
          <w:divBdr>
            <w:top w:val="none" w:sz="0" w:space="0" w:color="auto"/>
            <w:left w:val="none" w:sz="0" w:space="0" w:color="auto"/>
            <w:bottom w:val="none" w:sz="0" w:space="0" w:color="auto"/>
            <w:right w:val="none" w:sz="0" w:space="0" w:color="auto"/>
          </w:divBdr>
        </w:div>
        <w:div w:id="1135831756">
          <w:marLeft w:val="0"/>
          <w:marRight w:val="0"/>
          <w:marTop w:val="0"/>
          <w:marBottom w:val="0"/>
          <w:divBdr>
            <w:top w:val="none" w:sz="0" w:space="0" w:color="auto"/>
            <w:left w:val="none" w:sz="0" w:space="0" w:color="auto"/>
            <w:bottom w:val="none" w:sz="0" w:space="0" w:color="auto"/>
            <w:right w:val="none" w:sz="0" w:space="0" w:color="auto"/>
          </w:divBdr>
        </w:div>
        <w:div w:id="1176650421">
          <w:marLeft w:val="0"/>
          <w:marRight w:val="0"/>
          <w:marTop w:val="0"/>
          <w:marBottom w:val="0"/>
          <w:divBdr>
            <w:top w:val="none" w:sz="0" w:space="0" w:color="auto"/>
            <w:left w:val="none" w:sz="0" w:space="0" w:color="auto"/>
            <w:bottom w:val="none" w:sz="0" w:space="0" w:color="auto"/>
            <w:right w:val="none" w:sz="0" w:space="0" w:color="auto"/>
          </w:divBdr>
        </w:div>
        <w:div w:id="1256210890">
          <w:marLeft w:val="0"/>
          <w:marRight w:val="0"/>
          <w:marTop w:val="0"/>
          <w:marBottom w:val="0"/>
          <w:divBdr>
            <w:top w:val="none" w:sz="0" w:space="0" w:color="auto"/>
            <w:left w:val="none" w:sz="0" w:space="0" w:color="auto"/>
            <w:bottom w:val="none" w:sz="0" w:space="0" w:color="auto"/>
            <w:right w:val="none" w:sz="0" w:space="0" w:color="auto"/>
          </w:divBdr>
        </w:div>
        <w:div w:id="1490905713">
          <w:marLeft w:val="0"/>
          <w:marRight w:val="0"/>
          <w:marTop w:val="0"/>
          <w:marBottom w:val="0"/>
          <w:divBdr>
            <w:top w:val="none" w:sz="0" w:space="0" w:color="auto"/>
            <w:left w:val="none" w:sz="0" w:space="0" w:color="auto"/>
            <w:bottom w:val="none" w:sz="0" w:space="0" w:color="auto"/>
            <w:right w:val="none" w:sz="0" w:space="0" w:color="auto"/>
          </w:divBdr>
        </w:div>
        <w:div w:id="1572622751">
          <w:marLeft w:val="0"/>
          <w:marRight w:val="0"/>
          <w:marTop w:val="0"/>
          <w:marBottom w:val="0"/>
          <w:divBdr>
            <w:top w:val="none" w:sz="0" w:space="0" w:color="auto"/>
            <w:left w:val="none" w:sz="0" w:space="0" w:color="auto"/>
            <w:bottom w:val="none" w:sz="0" w:space="0" w:color="auto"/>
            <w:right w:val="none" w:sz="0" w:space="0" w:color="auto"/>
          </w:divBdr>
        </w:div>
      </w:divsChild>
    </w:div>
    <w:div w:id="790976909">
      <w:bodyDiv w:val="1"/>
      <w:marLeft w:val="0"/>
      <w:marRight w:val="0"/>
      <w:marTop w:val="0"/>
      <w:marBottom w:val="0"/>
      <w:divBdr>
        <w:top w:val="none" w:sz="0" w:space="0" w:color="auto"/>
        <w:left w:val="none" w:sz="0" w:space="0" w:color="auto"/>
        <w:bottom w:val="none" w:sz="0" w:space="0" w:color="auto"/>
        <w:right w:val="none" w:sz="0" w:space="0" w:color="auto"/>
      </w:divBdr>
    </w:div>
    <w:div w:id="1361467224">
      <w:bodyDiv w:val="1"/>
      <w:marLeft w:val="0"/>
      <w:marRight w:val="0"/>
      <w:marTop w:val="0"/>
      <w:marBottom w:val="0"/>
      <w:divBdr>
        <w:top w:val="none" w:sz="0" w:space="0" w:color="auto"/>
        <w:left w:val="none" w:sz="0" w:space="0" w:color="auto"/>
        <w:bottom w:val="none" w:sz="0" w:space="0" w:color="auto"/>
        <w:right w:val="none" w:sz="0" w:space="0" w:color="auto"/>
      </w:divBdr>
    </w:div>
    <w:div w:id="1427338101">
      <w:bodyDiv w:val="1"/>
      <w:marLeft w:val="0"/>
      <w:marRight w:val="0"/>
      <w:marTop w:val="0"/>
      <w:marBottom w:val="0"/>
      <w:divBdr>
        <w:top w:val="none" w:sz="0" w:space="0" w:color="auto"/>
        <w:left w:val="none" w:sz="0" w:space="0" w:color="auto"/>
        <w:bottom w:val="none" w:sz="0" w:space="0" w:color="auto"/>
        <w:right w:val="none" w:sz="0" w:space="0" w:color="auto"/>
      </w:divBdr>
    </w:div>
    <w:div w:id="1679234413">
      <w:bodyDiv w:val="1"/>
      <w:marLeft w:val="0"/>
      <w:marRight w:val="0"/>
      <w:marTop w:val="0"/>
      <w:marBottom w:val="0"/>
      <w:divBdr>
        <w:top w:val="none" w:sz="0" w:space="0" w:color="auto"/>
        <w:left w:val="none" w:sz="0" w:space="0" w:color="auto"/>
        <w:bottom w:val="none" w:sz="0" w:space="0" w:color="auto"/>
        <w:right w:val="none" w:sz="0" w:space="0" w:color="auto"/>
      </w:divBdr>
      <w:divsChild>
        <w:div w:id="1010372372">
          <w:marLeft w:val="0"/>
          <w:marRight w:val="0"/>
          <w:marTop w:val="0"/>
          <w:marBottom w:val="0"/>
          <w:divBdr>
            <w:top w:val="none" w:sz="0" w:space="0" w:color="auto"/>
            <w:left w:val="none" w:sz="0" w:space="0" w:color="auto"/>
            <w:bottom w:val="none" w:sz="0" w:space="0" w:color="auto"/>
            <w:right w:val="none" w:sz="0" w:space="0" w:color="auto"/>
          </w:divBdr>
        </w:div>
        <w:div w:id="1882938991">
          <w:marLeft w:val="0"/>
          <w:marRight w:val="0"/>
          <w:marTop w:val="0"/>
          <w:marBottom w:val="0"/>
          <w:divBdr>
            <w:top w:val="none" w:sz="0" w:space="0" w:color="auto"/>
            <w:left w:val="none" w:sz="0" w:space="0" w:color="auto"/>
            <w:bottom w:val="none" w:sz="0" w:space="0" w:color="auto"/>
            <w:right w:val="none" w:sz="0" w:space="0" w:color="auto"/>
          </w:divBdr>
        </w:div>
        <w:div w:id="1985236056">
          <w:marLeft w:val="0"/>
          <w:marRight w:val="0"/>
          <w:marTop w:val="0"/>
          <w:marBottom w:val="0"/>
          <w:divBdr>
            <w:top w:val="none" w:sz="0" w:space="0" w:color="auto"/>
            <w:left w:val="none" w:sz="0" w:space="0" w:color="auto"/>
            <w:bottom w:val="none" w:sz="0" w:space="0" w:color="auto"/>
            <w:right w:val="none" w:sz="0" w:space="0" w:color="auto"/>
          </w:divBdr>
        </w:div>
        <w:div w:id="1995530228">
          <w:marLeft w:val="0"/>
          <w:marRight w:val="0"/>
          <w:marTop w:val="0"/>
          <w:marBottom w:val="0"/>
          <w:divBdr>
            <w:top w:val="none" w:sz="0" w:space="0" w:color="auto"/>
            <w:left w:val="none" w:sz="0" w:space="0" w:color="auto"/>
            <w:bottom w:val="none" w:sz="0" w:space="0" w:color="auto"/>
            <w:right w:val="none" w:sz="0" w:space="0" w:color="auto"/>
          </w:divBdr>
        </w:div>
        <w:div w:id="2014263900">
          <w:marLeft w:val="0"/>
          <w:marRight w:val="0"/>
          <w:marTop w:val="0"/>
          <w:marBottom w:val="0"/>
          <w:divBdr>
            <w:top w:val="none" w:sz="0" w:space="0" w:color="auto"/>
            <w:left w:val="none" w:sz="0" w:space="0" w:color="auto"/>
            <w:bottom w:val="none" w:sz="0" w:space="0" w:color="auto"/>
            <w:right w:val="none" w:sz="0" w:space="0" w:color="auto"/>
          </w:divBdr>
        </w:div>
      </w:divsChild>
    </w:div>
    <w:div w:id="1749182168">
      <w:bodyDiv w:val="1"/>
      <w:marLeft w:val="0"/>
      <w:marRight w:val="0"/>
      <w:marTop w:val="0"/>
      <w:marBottom w:val="0"/>
      <w:divBdr>
        <w:top w:val="none" w:sz="0" w:space="0" w:color="auto"/>
        <w:left w:val="none" w:sz="0" w:space="0" w:color="auto"/>
        <w:bottom w:val="none" w:sz="0" w:space="0" w:color="auto"/>
        <w:right w:val="none" w:sz="0" w:space="0" w:color="auto"/>
      </w:divBdr>
      <w:divsChild>
        <w:div w:id="315693441">
          <w:marLeft w:val="0"/>
          <w:marRight w:val="0"/>
          <w:marTop w:val="0"/>
          <w:marBottom w:val="0"/>
          <w:divBdr>
            <w:top w:val="none" w:sz="0" w:space="0" w:color="auto"/>
            <w:left w:val="none" w:sz="0" w:space="0" w:color="auto"/>
            <w:bottom w:val="none" w:sz="0" w:space="0" w:color="auto"/>
            <w:right w:val="none" w:sz="0" w:space="0" w:color="auto"/>
          </w:divBdr>
        </w:div>
      </w:divsChild>
    </w:div>
    <w:div w:id="1818036390">
      <w:bodyDiv w:val="1"/>
      <w:marLeft w:val="0"/>
      <w:marRight w:val="0"/>
      <w:marTop w:val="0"/>
      <w:marBottom w:val="0"/>
      <w:divBdr>
        <w:top w:val="none" w:sz="0" w:space="0" w:color="auto"/>
        <w:left w:val="none" w:sz="0" w:space="0" w:color="auto"/>
        <w:bottom w:val="none" w:sz="0" w:space="0" w:color="auto"/>
        <w:right w:val="none" w:sz="0" w:space="0" w:color="auto"/>
      </w:divBdr>
      <w:divsChild>
        <w:div w:id="916859408">
          <w:marLeft w:val="0"/>
          <w:marRight w:val="0"/>
          <w:marTop w:val="0"/>
          <w:marBottom w:val="0"/>
          <w:divBdr>
            <w:top w:val="none" w:sz="0" w:space="0" w:color="auto"/>
            <w:left w:val="none" w:sz="0" w:space="0" w:color="auto"/>
            <w:bottom w:val="none" w:sz="0" w:space="0" w:color="auto"/>
            <w:right w:val="none" w:sz="0" w:space="0" w:color="auto"/>
          </w:divBdr>
        </w:div>
        <w:div w:id="756829427">
          <w:marLeft w:val="0"/>
          <w:marRight w:val="0"/>
          <w:marTop w:val="0"/>
          <w:marBottom w:val="0"/>
          <w:divBdr>
            <w:top w:val="none" w:sz="0" w:space="0" w:color="auto"/>
            <w:left w:val="none" w:sz="0" w:space="0" w:color="auto"/>
            <w:bottom w:val="none" w:sz="0" w:space="0" w:color="auto"/>
            <w:right w:val="none" w:sz="0" w:space="0" w:color="auto"/>
          </w:divBdr>
        </w:div>
        <w:div w:id="599921648">
          <w:marLeft w:val="0"/>
          <w:marRight w:val="0"/>
          <w:marTop w:val="0"/>
          <w:marBottom w:val="0"/>
          <w:divBdr>
            <w:top w:val="none" w:sz="0" w:space="0" w:color="auto"/>
            <w:left w:val="none" w:sz="0" w:space="0" w:color="auto"/>
            <w:bottom w:val="none" w:sz="0" w:space="0" w:color="auto"/>
            <w:right w:val="none" w:sz="0" w:space="0" w:color="auto"/>
          </w:divBdr>
        </w:div>
        <w:div w:id="1896119812">
          <w:marLeft w:val="0"/>
          <w:marRight w:val="0"/>
          <w:marTop w:val="0"/>
          <w:marBottom w:val="0"/>
          <w:divBdr>
            <w:top w:val="none" w:sz="0" w:space="0" w:color="auto"/>
            <w:left w:val="none" w:sz="0" w:space="0" w:color="auto"/>
            <w:bottom w:val="none" w:sz="0" w:space="0" w:color="auto"/>
            <w:right w:val="none" w:sz="0" w:space="0" w:color="auto"/>
          </w:divBdr>
        </w:div>
        <w:div w:id="381100135">
          <w:marLeft w:val="0"/>
          <w:marRight w:val="0"/>
          <w:marTop w:val="0"/>
          <w:marBottom w:val="0"/>
          <w:divBdr>
            <w:top w:val="none" w:sz="0" w:space="0" w:color="auto"/>
            <w:left w:val="none" w:sz="0" w:space="0" w:color="auto"/>
            <w:bottom w:val="none" w:sz="0" w:space="0" w:color="auto"/>
            <w:right w:val="none" w:sz="0" w:space="0" w:color="auto"/>
          </w:divBdr>
        </w:div>
        <w:div w:id="401030466">
          <w:marLeft w:val="0"/>
          <w:marRight w:val="0"/>
          <w:marTop w:val="0"/>
          <w:marBottom w:val="0"/>
          <w:divBdr>
            <w:top w:val="none" w:sz="0" w:space="0" w:color="auto"/>
            <w:left w:val="none" w:sz="0" w:space="0" w:color="auto"/>
            <w:bottom w:val="none" w:sz="0" w:space="0" w:color="auto"/>
            <w:right w:val="none" w:sz="0" w:space="0" w:color="auto"/>
          </w:divBdr>
        </w:div>
        <w:div w:id="533809991">
          <w:marLeft w:val="0"/>
          <w:marRight w:val="0"/>
          <w:marTop w:val="0"/>
          <w:marBottom w:val="0"/>
          <w:divBdr>
            <w:top w:val="none" w:sz="0" w:space="0" w:color="auto"/>
            <w:left w:val="none" w:sz="0" w:space="0" w:color="auto"/>
            <w:bottom w:val="none" w:sz="0" w:space="0" w:color="auto"/>
            <w:right w:val="none" w:sz="0" w:space="0" w:color="auto"/>
          </w:divBdr>
        </w:div>
        <w:div w:id="318852114">
          <w:marLeft w:val="0"/>
          <w:marRight w:val="0"/>
          <w:marTop w:val="0"/>
          <w:marBottom w:val="0"/>
          <w:divBdr>
            <w:top w:val="none" w:sz="0" w:space="0" w:color="auto"/>
            <w:left w:val="none" w:sz="0" w:space="0" w:color="auto"/>
            <w:bottom w:val="none" w:sz="0" w:space="0" w:color="auto"/>
            <w:right w:val="none" w:sz="0" w:space="0" w:color="auto"/>
          </w:divBdr>
        </w:div>
        <w:div w:id="1878930827">
          <w:marLeft w:val="0"/>
          <w:marRight w:val="0"/>
          <w:marTop w:val="0"/>
          <w:marBottom w:val="0"/>
          <w:divBdr>
            <w:top w:val="none" w:sz="0" w:space="0" w:color="auto"/>
            <w:left w:val="none" w:sz="0" w:space="0" w:color="auto"/>
            <w:bottom w:val="none" w:sz="0" w:space="0" w:color="auto"/>
            <w:right w:val="none" w:sz="0" w:space="0" w:color="auto"/>
          </w:divBdr>
        </w:div>
        <w:div w:id="716127063">
          <w:marLeft w:val="0"/>
          <w:marRight w:val="0"/>
          <w:marTop w:val="0"/>
          <w:marBottom w:val="0"/>
          <w:divBdr>
            <w:top w:val="none" w:sz="0" w:space="0" w:color="auto"/>
            <w:left w:val="none" w:sz="0" w:space="0" w:color="auto"/>
            <w:bottom w:val="none" w:sz="0" w:space="0" w:color="auto"/>
            <w:right w:val="none" w:sz="0" w:space="0" w:color="auto"/>
          </w:divBdr>
        </w:div>
        <w:div w:id="284703408">
          <w:marLeft w:val="0"/>
          <w:marRight w:val="0"/>
          <w:marTop w:val="0"/>
          <w:marBottom w:val="0"/>
          <w:divBdr>
            <w:top w:val="none" w:sz="0" w:space="0" w:color="auto"/>
            <w:left w:val="none" w:sz="0" w:space="0" w:color="auto"/>
            <w:bottom w:val="none" w:sz="0" w:space="0" w:color="auto"/>
            <w:right w:val="none" w:sz="0" w:space="0" w:color="auto"/>
          </w:divBdr>
        </w:div>
        <w:div w:id="480778786">
          <w:marLeft w:val="0"/>
          <w:marRight w:val="0"/>
          <w:marTop w:val="0"/>
          <w:marBottom w:val="0"/>
          <w:divBdr>
            <w:top w:val="none" w:sz="0" w:space="0" w:color="auto"/>
            <w:left w:val="none" w:sz="0" w:space="0" w:color="auto"/>
            <w:bottom w:val="none" w:sz="0" w:space="0" w:color="auto"/>
            <w:right w:val="none" w:sz="0" w:space="0" w:color="auto"/>
          </w:divBdr>
        </w:div>
        <w:div w:id="423960229">
          <w:marLeft w:val="0"/>
          <w:marRight w:val="0"/>
          <w:marTop w:val="0"/>
          <w:marBottom w:val="0"/>
          <w:divBdr>
            <w:top w:val="none" w:sz="0" w:space="0" w:color="auto"/>
            <w:left w:val="none" w:sz="0" w:space="0" w:color="auto"/>
            <w:bottom w:val="none" w:sz="0" w:space="0" w:color="auto"/>
            <w:right w:val="none" w:sz="0" w:space="0" w:color="auto"/>
          </w:divBdr>
        </w:div>
        <w:div w:id="986979154">
          <w:marLeft w:val="0"/>
          <w:marRight w:val="0"/>
          <w:marTop w:val="0"/>
          <w:marBottom w:val="0"/>
          <w:divBdr>
            <w:top w:val="none" w:sz="0" w:space="0" w:color="auto"/>
            <w:left w:val="none" w:sz="0" w:space="0" w:color="auto"/>
            <w:bottom w:val="none" w:sz="0" w:space="0" w:color="auto"/>
            <w:right w:val="none" w:sz="0" w:space="0" w:color="auto"/>
          </w:divBdr>
        </w:div>
        <w:div w:id="547037234">
          <w:marLeft w:val="0"/>
          <w:marRight w:val="0"/>
          <w:marTop w:val="0"/>
          <w:marBottom w:val="0"/>
          <w:divBdr>
            <w:top w:val="none" w:sz="0" w:space="0" w:color="auto"/>
            <w:left w:val="none" w:sz="0" w:space="0" w:color="auto"/>
            <w:bottom w:val="none" w:sz="0" w:space="0" w:color="auto"/>
            <w:right w:val="none" w:sz="0" w:space="0" w:color="auto"/>
          </w:divBdr>
        </w:div>
        <w:div w:id="629480277">
          <w:marLeft w:val="0"/>
          <w:marRight w:val="0"/>
          <w:marTop w:val="0"/>
          <w:marBottom w:val="0"/>
          <w:divBdr>
            <w:top w:val="none" w:sz="0" w:space="0" w:color="auto"/>
            <w:left w:val="none" w:sz="0" w:space="0" w:color="auto"/>
            <w:bottom w:val="none" w:sz="0" w:space="0" w:color="auto"/>
            <w:right w:val="none" w:sz="0" w:space="0" w:color="auto"/>
          </w:divBdr>
        </w:div>
        <w:div w:id="233662710">
          <w:marLeft w:val="0"/>
          <w:marRight w:val="0"/>
          <w:marTop w:val="0"/>
          <w:marBottom w:val="0"/>
          <w:divBdr>
            <w:top w:val="none" w:sz="0" w:space="0" w:color="auto"/>
            <w:left w:val="none" w:sz="0" w:space="0" w:color="auto"/>
            <w:bottom w:val="none" w:sz="0" w:space="0" w:color="auto"/>
            <w:right w:val="none" w:sz="0" w:space="0" w:color="auto"/>
          </w:divBdr>
        </w:div>
        <w:div w:id="1371881078">
          <w:marLeft w:val="0"/>
          <w:marRight w:val="0"/>
          <w:marTop w:val="0"/>
          <w:marBottom w:val="0"/>
          <w:divBdr>
            <w:top w:val="none" w:sz="0" w:space="0" w:color="auto"/>
            <w:left w:val="none" w:sz="0" w:space="0" w:color="auto"/>
            <w:bottom w:val="none" w:sz="0" w:space="0" w:color="auto"/>
            <w:right w:val="none" w:sz="0" w:space="0" w:color="auto"/>
          </w:divBdr>
        </w:div>
        <w:div w:id="1208297764">
          <w:marLeft w:val="0"/>
          <w:marRight w:val="0"/>
          <w:marTop w:val="0"/>
          <w:marBottom w:val="0"/>
          <w:divBdr>
            <w:top w:val="none" w:sz="0" w:space="0" w:color="auto"/>
            <w:left w:val="none" w:sz="0" w:space="0" w:color="auto"/>
            <w:bottom w:val="none" w:sz="0" w:space="0" w:color="auto"/>
            <w:right w:val="none" w:sz="0" w:space="0" w:color="auto"/>
          </w:divBdr>
        </w:div>
        <w:div w:id="1602297988">
          <w:marLeft w:val="0"/>
          <w:marRight w:val="0"/>
          <w:marTop w:val="0"/>
          <w:marBottom w:val="0"/>
          <w:divBdr>
            <w:top w:val="none" w:sz="0" w:space="0" w:color="auto"/>
            <w:left w:val="none" w:sz="0" w:space="0" w:color="auto"/>
            <w:bottom w:val="none" w:sz="0" w:space="0" w:color="auto"/>
            <w:right w:val="none" w:sz="0" w:space="0" w:color="auto"/>
          </w:divBdr>
        </w:div>
        <w:div w:id="2033410319">
          <w:marLeft w:val="0"/>
          <w:marRight w:val="0"/>
          <w:marTop w:val="0"/>
          <w:marBottom w:val="0"/>
          <w:divBdr>
            <w:top w:val="none" w:sz="0" w:space="0" w:color="auto"/>
            <w:left w:val="none" w:sz="0" w:space="0" w:color="auto"/>
            <w:bottom w:val="none" w:sz="0" w:space="0" w:color="auto"/>
            <w:right w:val="none" w:sz="0" w:space="0" w:color="auto"/>
          </w:divBdr>
        </w:div>
        <w:div w:id="625820773">
          <w:marLeft w:val="0"/>
          <w:marRight w:val="0"/>
          <w:marTop w:val="0"/>
          <w:marBottom w:val="0"/>
          <w:divBdr>
            <w:top w:val="none" w:sz="0" w:space="0" w:color="auto"/>
            <w:left w:val="none" w:sz="0" w:space="0" w:color="auto"/>
            <w:bottom w:val="none" w:sz="0" w:space="0" w:color="auto"/>
            <w:right w:val="none" w:sz="0" w:space="0" w:color="auto"/>
          </w:divBdr>
        </w:div>
        <w:div w:id="1641232004">
          <w:marLeft w:val="0"/>
          <w:marRight w:val="0"/>
          <w:marTop w:val="0"/>
          <w:marBottom w:val="0"/>
          <w:divBdr>
            <w:top w:val="none" w:sz="0" w:space="0" w:color="auto"/>
            <w:left w:val="none" w:sz="0" w:space="0" w:color="auto"/>
            <w:bottom w:val="none" w:sz="0" w:space="0" w:color="auto"/>
            <w:right w:val="none" w:sz="0" w:space="0" w:color="auto"/>
          </w:divBdr>
        </w:div>
        <w:div w:id="2114588949">
          <w:marLeft w:val="0"/>
          <w:marRight w:val="0"/>
          <w:marTop w:val="0"/>
          <w:marBottom w:val="0"/>
          <w:divBdr>
            <w:top w:val="none" w:sz="0" w:space="0" w:color="auto"/>
            <w:left w:val="none" w:sz="0" w:space="0" w:color="auto"/>
            <w:bottom w:val="none" w:sz="0" w:space="0" w:color="auto"/>
            <w:right w:val="none" w:sz="0" w:space="0" w:color="auto"/>
          </w:divBdr>
        </w:div>
      </w:divsChild>
    </w:div>
    <w:div w:id="1940522507">
      <w:bodyDiv w:val="1"/>
      <w:marLeft w:val="0"/>
      <w:marRight w:val="0"/>
      <w:marTop w:val="0"/>
      <w:marBottom w:val="0"/>
      <w:divBdr>
        <w:top w:val="none" w:sz="0" w:space="0" w:color="auto"/>
        <w:left w:val="none" w:sz="0" w:space="0" w:color="auto"/>
        <w:bottom w:val="none" w:sz="0" w:space="0" w:color="auto"/>
        <w:right w:val="none" w:sz="0" w:space="0" w:color="auto"/>
      </w:divBdr>
      <w:divsChild>
        <w:div w:id="1631209890">
          <w:marLeft w:val="0"/>
          <w:marRight w:val="0"/>
          <w:marTop w:val="0"/>
          <w:marBottom w:val="0"/>
          <w:divBdr>
            <w:top w:val="none" w:sz="0" w:space="0" w:color="auto"/>
            <w:left w:val="none" w:sz="0" w:space="0" w:color="auto"/>
            <w:bottom w:val="none" w:sz="0" w:space="0" w:color="auto"/>
            <w:right w:val="none" w:sz="0" w:space="0" w:color="auto"/>
          </w:divBdr>
          <w:divsChild>
            <w:div w:id="269897192">
              <w:marLeft w:val="0"/>
              <w:marRight w:val="0"/>
              <w:marTop w:val="0"/>
              <w:marBottom w:val="0"/>
              <w:divBdr>
                <w:top w:val="none" w:sz="0" w:space="0" w:color="auto"/>
                <w:left w:val="none" w:sz="0" w:space="0" w:color="auto"/>
                <w:bottom w:val="none" w:sz="0" w:space="0" w:color="auto"/>
                <w:right w:val="none" w:sz="0" w:space="0" w:color="auto"/>
              </w:divBdr>
            </w:div>
            <w:div w:id="412436396">
              <w:marLeft w:val="0"/>
              <w:marRight w:val="0"/>
              <w:marTop w:val="0"/>
              <w:marBottom w:val="0"/>
              <w:divBdr>
                <w:top w:val="none" w:sz="0" w:space="0" w:color="auto"/>
                <w:left w:val="none" w:sz="0" w:space="0" w:color="auto"/>
                <w:bottom w:val="none" w:sz="0" w:space="0" w:color="auto"/>
                <w:right w:val="none" w:sz="0" w:space="0" w:color="auto"/>
              </w:divBdr>
            </w:div>
            <w:div w:id="1038316202">
              <w:marLeft w:val="0"/>
              <w:marRight w:val="0"/>
              <w:marTop w:val="0"/>
              <w:marBottom w:val="0"/>
              <w:divBdr>
                <w:top w:val="none" w:sz="0" w:space="0" w:color="auto"/>
                <w:left w:val="none" w:sz="0" w:space="0" w:color="auto"/>
                <w:bottom w:val="none" w:sz="0" w:space="0" w:color="auto"/>
                <w:right w:val="none" w:sz="0" w:space="0" w:color="auto"/>
              </w:divBdr>
            </w:div>
            <w:div w:id="1040788002">
              <w:marLeft w:val="0"/>
              <w:marRight w:val="0"/>
              <w:marTop w:val="0"/>
              <w:marBottom w:val="0"/>
              <w:divBdr>
                <w:top w:val="none" w:sz="0" w:space="0" w:color="auto"/>
                <w:left w:val="none" w:sz="0" w:space="0" w:color="auto"/>
                <w:bottom w:val="none" w:sz="0" w:space="0" w:color="auto"/>
                <w:right w:val="none" w:sz="0" w:space="0" w:color="auto"/>
              </w:divBdr>
            </w:div>
            <w:div w:id="1578517479">
              <w:marLeft w:val="0"/>
              <w:marRight w:val="0"/>
              <w:marTop w:val="0"/>
              <w:marBottom w:val="0"/>
              <w:divBdr>
                <w:top w:val="none" w:sz="0" w:space="0" w:color="auto"/>
                <w:left w:val="none" w:sz="0" w:space="0" w:color="auto"/>
                <w:bottom w:val="none" w:sz="0" w:space="0" w:color="auto"/>
                <w:right w:val="none" w:sz="0" w:space="0" w:color="auto"/>
              </w:divBdr>
            </w:div>
            <w:div w:id="1727684917">
              <w:marLeft w:val="0"/>
              <w:marRight w:val="0"/>
              <w:marTop w:val="0"/>
              <w:marBottom w:val="0"/>
              <w:divBdr>
                <w:top w:val="none" w:sz="0" w:space="0" w:color="auto"/>
                <w:left w:val="none" w:sz="0" w:space="0" w:color="auto"/>
                <w:bottom w:val="none" w:sz="0" w:space="0" w:color="auto"/>
                <w:right w:val="none" w:sz="0" w:space="0" w:color="auto"/>
              </w:divBdr>
            </w:div>
            <w:div w:id="18909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travelhealthpro.org.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west-nile-vir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44318/EI_Risk_assessment_WNV_Dec_202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A50A7-0035-4A99-979A-4DE26D27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WHAT ARRANGEMENTS ARE IN LACE FOR MONITORING THREATS TO THE UK BLOOD SUPPLY FROM NEW/ EMERGING VIRUSES</vt:lpstr>
    </vt:vector>
  </TitlesOfParts>
  <Company>NHSBT</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ARRANGEMENTS ARE IN LACE FOR MONITORING THREATS TO THE UK BLOOD SUPPLY FROM NEW/ EMERGING VIRUSES</dc:title>
  <dc:creator>hewi0004</dc:creator>
  <cp:lastModifiedBy>Anna Witham</cp:lastModifiedBy>
  <cp:revision>2</cp:revision>
  <cp:lastPrinted>2018-09-27T13:26:00Z</cp:lastPrinted>
  <dcterms:created xsi:type="dcterms:W3CDTF">2022-01-13T11:13:00Z</dcterms:created>
  <dcterms:modified xsi:type="dcterms:W3CDTF">2022-01-13T11:13:00Z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