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CBF" w:rsidRPr="005D2606" w:rsidRDefault="00B25CBF" w:rsidP="00B75AA4">
      <w:pPr>
        <w:autoSpaceDE w:val="0"/>
        <w:autoSpaceDN w:val="0"/>
        <w:adjustRightInd w:val="0"/>
        <w:spacing w:after="0" w:line="240" w:lineRule="auto"/>
        <w:jc w:val="center"/>
        <w:rPr>
          <w:rFonts w:ascii="Verdana" w:hAnsi="Verdana" w:cs="Arial"/>
          <w:color w:val="3366FF"/>
          <w:sz w:val="20"/>
          <w:szCs w:val="20"/>
        </w:rPr>
      </w:pPr>
      <w:r>
        <w:rPr>
          <w:noProof/>
          <w:lang w:eastAsia="en-GB"/>
        </w:rPr>
        <w:pict>
          <v:shapetype id="_x0000_t202" coordsize="21600,21600" o:spt="202" path="m,l,21600r21600,l21600,xe">
            <v:stroke joinstyle="miter"/>
            <v:path gradientshapeok="t" o:connecttype="rect"/>
          </v:shapetype>
          <v:shape id="_x0000_s1026" type="#_x0000_t202" style="position:absolute;left:0;text-align:left;margin-left:270pt;margin-top:-45pt;width:234pt;height:36pt;z-index:251658240" filled="f" stroked="f">
            <v:fill o:detectmouseclick="t"/>
            <v:textbox style="mso-next-textbox:#_x0000_s1026" inset=",7.2pt,,7.2pt">
              <w:txbxContent>
                <w:p w:rsidR="00B25CBF" w:rsidRPr="005B1B84" w:rsidRDefault="00B25CBF" w:rsidP="00B75AA4">
                  <w:pPr>
                    <w:rPr>
                      <w:color w:val="2B79C1"/>
                    </w:rPr>
                  </w:pPr>
                  <w:smartTag w:uri="urn:schemas-microsoft-com:office:smarttags" w:element="City">
                    <w:smartTag w:uri="urn:schemas-microsoft-com:office:smarttags" w:element="place">
                      <w:r w:rsidRPr="005B1B84">
                        <w:rPr>
                          <w:color w:val="2B79C1"/>
                        </w:rPr>
                        <w:t>London</w:t>
                      </w:r>
                    </w:smartTag>
                  </w:smartTag>
                  <w:r w:rsidRPr="005B1B84">
                    <w:rPr>
                      <w:color w:val="2B79C1"/>
                    </w:rPr>
                    <w:t xml:space="preserve"> Regional Transfusion Committee</w:t>
                  </w:r>
                </w:p>
              </w:txbxContent>
            </v:textbox>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0;text-align:left;margin-left:468pt;margin-top:-36pt;width:46.15pt;height:19.65pt;z-index:251659264;visibility:visible">
            <v:imagedata r:id="rId5" o:title=""/>
            <v:path arrowok="t"/>
          </v:shape>
        </w:pict>
      </w:r>
      <w:r w:rsidRPr="005D2606">
        <w:rPr>
          <w:rFonts w:ascii="Verdana" w:hAnsi="Verdana" w:cs="Arial"/>
          <w:b/>
          <w:bCs/>
          <w:color w:val="3366FF"/>
          <w:sz w:val="36"/>
          <w:szCs w:val="36"/>
        </w:rPr>
        <w:t>Checklist for Implementation of Iron Deficiency Anaemia Clinic within your Trust/Organisation</w:t>
      </w:r>
    </w:p>
    <w:p w:rsidR="00B25CBF" w:rsidRPr="005D2606" w:rsidRDefault="00B25CBF" w:rsidP="00B75AA4">
      <w:pPr>
        <w:autoSpaceDE w:val="0"/>
        <w:autoSpaceDN w:val="0"/>
        <w:adjustRightInd w:val="0"/>
        <w:spacing w:after="0" w:line="240" w:lineRule="auto"/>
        <w:rPr>
          <w:rFonts w:ascii="Verdana" w:hAnsi="Verdana" w:cs="Arial"/>
          <w:b/>
          <w:bCs/>
          <w:sz w:val="6"/>
          <w:szCs w:val="6"/>
        </w:rPr>
      </w:pPr>
    </w:p>
    <w:p w:rsidR="00B25CBF" w:rsidRDefault="00B25CBF" w:rsidP="00B75AA4">
      <w:pPr>
        <w:autoSpaceDE w:val="0"/>
        <w:autoSpaceDN w:val="0"/>
        <w:adjustRightInd w:val="0"/>
        <w:spacing w:after="0" w:line="240" w:lineRule="auto"/>
        <w:rPr>
          <w:rFonts w:ascii="Verdana" w:hAnsi="Verdana" w:cs="Helvetica"/>
          <w:color w:val="303030"/>
          <w:shd w:val="clear" w:color="auto" w:fill="F5F5F5"/>
        </w:rPr>
      </w:pPr>
    </w:p>
    <w:p w:rsidR="00B25CBF" w:rsidRPr="00A56C33" w:rsidRDefault="00B25CBF" w:rsidP="00A56C33">
      <w:pPr>
        <w:rPr>
          <w:rFonts w:ascii="Verdana" w:hAnsi="Verdana"/>
        </w:rPr>
      </w:pPr>
      <w:r w:rsidRPr="00A56C33">
        <w:rPr>
          <w:rFonts w:ascii="Verdana" w:hAnsi="Verdana"/>
        </w:rPr>
        <w:t xml:space="preserve">Patient Blood Management is a multidisciplinary, evidence-based approach optimising the care of patients who might need blood transfusion. It covers the need to manage anaemia without unnecessary transfusion reducing risk to patients whist allowing better patient outcomes. Timely identification and management of anaemia along with appropriate management (i.e. not blood transfusion) are key actions that were set to Trust in the 2014 National Blood Transfusion Committee’s PBM Recommendations. </w:t>
      </w:r>
    </w:p>
    <w:p w:rsidR="00B25CBF" w:rsidRPr="00A56C33" w:rsidRDefault="00B25CBF" w:rsidP="00A56C33">
      <w:pPr>
        <w:rPr>
          <w:rFonts w:ascii="Verdana" w:hAnsi="Verdana"/>
        </w:rPr>
      </w:pPr>
      <w:r w:rsidRPr="00A56C33">
        <w:rPr>
          <w:rFonts w:ascii="Verdana" w:hAnsi="Verdana"/>
        </w:rPr>
        <w:t xml:space="preserve">Below is a checklist developed by the London Regional Transfusion Committee to support implementation of anaemia management clinics. </w:t>
      </w:r>
    </w:p>
    <w:p w:rsidR="00B25CBF" w:rsidRPr="005D2606" w:rsidRDefault="00B25CBF" w:rsidP="008D0165">
      <w:pPr>
        <w:autoSpaceDE w:val="0"/>
        <w:autoSpaceDN w:val="0"/>
        <w:adjustRightInd w:val="0"/>
        <w:spacing w:after="0" w:line="240" w:lineRule="auto"/>
        <w:rPr>
          <w:rFonts w:ascii="Verdana" w:hAnsi="Verdana" w:cs="Arial"/>
          <w:b/>
          <w:bCs/>
        </w:rPr>
      </w:pPr>
    </w:p>
    <w:p w:rsidR="00B25CBF" w:rsidRPr="005D2606" w:rsidRDefault="00B25CBF" w:rsidP="008D0165">
      <w:pPr>
        <w:autoSpaceDE w:val="0"/>
        <w:autoSpaceDN w:val="0"/>
        <w:adjustRightInd w:val="0"/>
        <w:spacing w:after="0" w:line="240" w:lineRule="auto"/>
        <w:rPr>
          <w:rFonts w:ascii="Verdana" w:hAnsi="Verdana" w:cs="Arial"/>
          <w:b/>
          <w:bCs/>
          <w:color w:val="3366FF"/>
        </w:rPr>
      </w:pPr>
      <w:r w:rsidRPr="005D2606">
        <w:rPr>
          <w:rFonts w:ascii="Verdana" w:hAnsi="Verdana" w:cs="Arial"/>
          <w:b/>
          <w:bCs/>
          <w:color w:val="3366FF"/>
        </w:rPr>
        <w:t>1. Identify the need</w:t>
      </w:r>
    </w:p>
    <w:p w:rsidR="00B25CBF" w:rsidRDefault="00B25CBF" w:rsidP="000C21BA">
      <w:pPr>
        <w:numPr>
          <w:ilvl w:val="0"/>
          <w:numId w:val="3"/>
        </w:numPr>
        <w:autoSpaceDE w:val="0"/>
        <w:autoSpaceDN w:val="0"/>
        <w:adjustRightInd w:val="0"/>
        <w:spacing w:after="0" w:line="240" w:lineRule="auto"/>
        <w:rPr>
          <w:rFonts w:ascii="Verdana" w:hAnsi="Verdana" w:cs="Arial"/>
          <w:iCs/>
        </w:rPr>
      </w:pPr>
      <w:r w:rsidRPr="005D2606">
        <w:rPr>
          <w:rFonts w:ascii="Verdana" w:hAnsi="Verdana" w:cs="Arial"/>
          <w:iCs/>
        </w:rPr>
        <w:t xml:space="preserve">Audit – identify if your Trust has patients which will benefit from a pre-optimisation service </w:t>
      </w:r>
      <w:r w:rsidRPr="005D2606">
        <w:rPr>
          <w:rFonts w:ascii="Verdana" w:hAnsi="Verdana" w:cs="Arial"/>
          <w:iCs/>
          <w:color w:val="3366FF"/>
        </w:rPr>
        <w:t>(</w:t>
      </w:r>
      <w:r>
        <w:rPr>
          <w:rFonts w:ascii="Verdana" w:hAnsi="Verdana" w:cs="Arial"/>
          <w:iCs/>
          <w:color w:val="3366FF"/>
        </w:rPr>
        <w:t xml:space="preserve">a template quick audit can be found at </w:t>
      </w:r>
      <w:hyperlink r:id="rId6" w:history="1">
        <w:r w:rsidRPr="00A56C33">
          <w:rPr>
            <w:rStyle w:val="Hyperlink"/>
            <w:rFonts w:ascii="Verdana" w:hAnsi="Verdana"/>
          </w:rPr>
          <w:t>http://www.transfusionguidelines.org/uk-transfusion-committees/regional-transfusion-committees/london/rtc-business/rtc-working-groups</w:t>
        </w:r>
      </w:hyperlink>
      <w:r w:rsidRPr="00A56C33">
        <w:rPr>
          <w:rFonts w:ascii="Verdana" w:hAnsi="Verdana" w:cs="Arial"/>
          <w:iCs/>
          <w:color w:val="3366FF"/>
        </w:rPr>
        <w:t>)</w:t>
      </w:r>
    </w:p>
    <w:p w:rsidR="00B25CBF" w:rsidRPr="005D2606" w:rsidRDefault="00B25CBF" w:rsidP="00CC1FF5">
      <w:pPr>
        <w:numPr>
          <w:ilvl w:val="0"/>
          <w:numId w:val="3"/>
        </w:numPr>
        <w:autoSpaceDE w:val="0"/>
        <w:autoSpaceDN w:val="0"/>
        <w:adjustRightInd w:val="0"/>
        <w:spacing w:after="0" w:line="240" w:lineRule="auto"/>
        <w:rPr>
          <w:rFonts w:ascii="Verdana" w:hAnsi="Verdana" w:cs="Arial"/>
          <w:iCs/>
        </w:rPr>
      </w:pPr>
      <w:r w:rsidRPr="005D2606">
        <w:rPr>
          <w:rFonts w:ascii="Verdana" w:hAnsi="Verdana" w:cs="Arial"/>
          <w:iCs/>
        </w:rPr>
        <w:t xml:space="preserve">Analyse Trust current services – identify if current services can be expanded to include anaemia management or if a new service will be required. For example view services in; </w:t>
      </w:r>
    </w:p>
    <w:p w:rsidR="00B25CBF" w:rsidRPr="005D2606" w:rsidRDefault="00B25CBF" w:rsidP="00E5527F">
      <w:pPr>
        <w:numPr>
          <w:ilvl w:val="0"/>
          <w:numId w:val="7"/>
        </w:numPr>
        <w:autoSpaceDE w:val="0"/>
        <w:autoSpaceDN w:val="0"/>
        <w:adjustRightInd w:val="0"/>
        <w:spacing w:after="0" w:line="240" w:lineRule="auto"/>
        <w:rPr>
          <w:rFonts w:ascii="Verdana" w:hAnsi="Verdana" w:cs="Arial"/>
          <w:iCs/>
        </w:rPr>
      </w:pPr>
      <w:r w:rsidRPr="005D2606">
        <w:rPr>
          <w:rFonts w:ascii="Verdana" w:hAnsi="Verdana" w:cs="Arial"/>
          <w:iCs/>
        </w:rPr>
        <w:t xml:space="preserve">Renal </w:t>
      </w:r>
    </w:p>
    <w:p w:rsidR="00B25CBF" w:rsidRPr="005D2606" w:rsidRDefault="00B25CBF" w:rsidP="00E5527F">
      <w:pPr>
        <w:numPr>
          <w:ilvl w:val="0"/>
          <w:numId w:val="7"/>
        </w:numPr>
        <w:autoSpaceDE w:val="0"/>
        <w:autoSpaceDN w:val="0"/>
        <w:adjustRightInd w:val="0"/>
        <w:spacing w:after="0" w:line="240" w:lineRule="auto"/>
        <w:rPr>
          <w:rFonts w:ascii="Verdana" w:hAnsi="Verdana" w:cs="Arial"/>
          <w:iCs/>
        </w:rPr>
      </w:pPr>
      <w:r w:rsidRPr="005D2606">
        <w:rPr>
          <w:rFonts w:ascii="Verdana" w:hAnsi="Verdana" w:cs="Arial"/>
          <w:iCs/>
        </w:rPr>
        <w:t>Haematology (including day unit)</w:t>
      </w:r>
    </w:p>
    <w:p w:rsidR="00B25CBF" w:rsidRPr="005D2606" w:rsidRDefault="00B25CBF" w:rsidP="00E5527F">
      <w:pPr>
        <w:numPr>
          <w:ilvl w:val="0"/>
          <w:numId w:val="7"/>
        </w:numPr>
        <w:autoSpaceDE w:val="0"/>
        <w:autoSpaceDN w:val="0"/>
        <w:adjustRightInd w:val="0"/>
        <w:spacing w:after="0" w:line="240" w:lineRule="auto"/>
        <w:rPr>
          <w:rFonts w:ascii="Verdana" w:hAnsi="Verdana" w:cs="Arial"/>
          <w:iCs/>
        </w:rPr>
      </w:pPr>
      <w:r w:rsidRPr="005D2606">
        <w:rPr>
          <w:rFonts w:ascii="Verdana" w:hAnsi="Verdana" w:cs="Arial"/>
          <w:iCs/>
        </w:rPr>
        <w:t>Surgical pre-assessment</w:t>
      </w:r>
    </w:p>
    <w:p w:rsidR="00B25CBF" w:rsidRPr="005D2606" w:rsidRDefault="00B25CBF" w:rsidP="00E5527F">
      <w:pPr>
        <w:numPr>
          <w:ilvl w:val="0"/>
          <w:numId w:val="7"/>
        </w:numPr>
        <w:autoSpaceDE w:val="0"/>
        <w:autoSpaceDN w:val="0"/>
        <w:adjustRightInd w:val="0"/>
        <w:spacing w:after="0" w:line="240" w:lineRule="auto"/>
        <w:rPr>
          <w:rFonts w:ascii="Verdana" w:hAnsi="Verdana" w:cs="Arial"/>
          <w:iCs/>
        </w:rPr>
      </w:pPr>
      <w:r w:rsidRPr="005D2606">
        <w:rPr>
          <w:rFonts w:ascii="Verdana" w:hAnsi="Verdana" w:cs="Arial"/>
          <w:iCs/>
        </w:rPr>
        <w:t>Acute medical units/Acute assessment areas</w:t>
      </w:r>
    </w:p>
    <w:p w:rsidR="00B25CBF" w:rsidRPr="005D2606" w:rsidRDefault="00B25CBF" w:rsidP="00E5527F">
      <w:pPr>
        <w:numPr>
          <w:ilvl w:val="0"/>
          <w:numId w:val="7"/>
        </w:numPr>
        <w:autoSpaceDE w:val="0"/>
        <w:autoSpaceDN w:val="0"/>
        <w:adjustRightInd w:val="0"/>
        <w:spacing w:after="0" w:line="240" w:lineRule="auto"/>
        <w:rPr>
          <w:rFonts w:ascii="Verdana" w:hAnsi="Verdana" w:cs="Arial"/>
          <w:iCs/>
        </w:rPr>
      </w:pPr>
      <w:r w:rsidRPr="005D2606">
        <w:rPr>
          <w:rFonts w:ascii="Verdana" w:hAnsi="Verdana" w:cs="Arial"/>
          <w:i/>
          <w:iCs/>
        </w:rPr>
        <w:t>Others, consult HTT members</w:t>
      </w:r>
    </w:p>
    <w:p w:rsidR="00B25CBF" w:rsidRDefault="00B25CBF" w:rsidP="00A56C33">
      <w:pPr>
        <w:numPr>
          <w:ilvl w:val="0"/>
          <w:numId w:val="3"/>
        </w:numPr>
        <w:autoSpaceDE w:val="0"/>
        <w:autoSpaceDN w:val="0"/>
        <w:adjustRightInd w:val="0"/>
        <w:spacing w:after="0" w:line="240" w:lineRule="auto"/>
        <w:rPr>
          <w:rFonts w:ascii="Verdana" w:hAnsi="Verdana" w:cs="Arial"/>
          <w:iCs/>
        </w:rPr>
      </w:pPr>
      <w:r w:rsidRPr="005D2606">
        <w:rPr>
          <w:rFonts w:ascii="Verdana" w:hAnsi="Verdana" w:cs="Arial"/>
          <w:iCs/>
        </w:rPr>
        <w:t>Costs – analyse the potential cost saving/revenue if a service existed based on your audit/patient population</w:t>
      </w:r>
      <w:r>
        <w:rPr>
          <w:rFonts w:ascii="Verdana" w:hAnsi="Verdana" w:cs="Arial"/>
          <w:iCs/>
        </w:rPr>
        <w:t xml:space="preserve"> </w:t>
      </w:r>
      <w:r>
        <w:rPr>
          <w:rFonts w:ascii="Verdana" w:hAnsi="Verdana" w:cs="Arial"/>
          <w:iCs/>
          <w:color w:val="3366FF"/>
        </w:rPr>
        <w:t>(cost analysis suggestions are available from anaemia clinic business case template available</w:t>
      </w:r>
      <w:r w:rsidRPr="00A56C33">
        <w:rPr>
          <w:rFonts w:ascii="Verdana" w:hAnsi="Verdana" w:cs="Arial"/>
          <w:iCs/>
          <w:color w:val="3366FF"/>
        </w:rPr>
        <w:t xml:space="preserve"> from </w:t>
      </w:r>
      <w:hyperlink r:id="rId7" w:history="1">
        <w:r w:rsidRPr="00A56C33">
          <w:rPr>
            <w:rStyle w:val="Hyperlink"/>
            <w:rFonts w:ascii="Verdana" w:hAnsi="Verdana"/>
          </w:rPr>
          <w:t>http://hospital.blood.co.uk/patient-services/patient-blood-management/general-resources/</w:t>
        </w:r>
      </w:hyperlink>
      <w:r w:rsidRPr="00A56C33">
        <w:rPr>
          <w:rFonts w:ascii="Verdana" w:hAnsi="Verdana" w:cs="Arial"/>
          <w:iCs/>
          <w:color w:val="3366FF"/>
        </w:rPr>
        <w:t>)</w:t>
      </w:r>
    </w:p>
    <w:p w:rsidR="00B25CBF" w:rsidRPr="00A56C33" w:rsidRDefault="00B25CBF" w:rsidP="00A56C33">
      <w:pPr>
        <w:numPr>
          <w:ilvl w:val="0"/>
          <w:numId w:val="3"/>
        </w:numPr>
        <w:autoSpaceDE w:val="0"/>
        <w:autoSpaceDN w:val="0"/>
        <w:adjustRightInd w:val="0"/>
        <w:spacing w:after="0" w:line="240" w:lineRule="auto"/>
        <w:rPr>
          <w:rFonts w:ascii="Verdana" w:hAnsi="Verdana" w:cs="Arial"/>
          <w:iCs/>
        </w:rPr>
      </w:pPr>
      <w:r w:rsidRPr="005D2606">
        <w:rPr>
          <w:rFonts w:ascii="Verdana" w:hAnsi="Verdana" w:cs="Arial"/>
          <w:iCs/>
        </w:rPr>
        <w:t>Best Practice – consult with others in region for advice, recommendations and support</w:t>
      </w:r>
      <w:r>
        <w:rPr>
          <w:rFonts w:ascii="Verdana" w:hAnsi="Verdana" w:cs="Arial"/>
          <w:iCs/>
        </w:rPr>
        <w:t xml:space="preserve"> </w:t>
      </w:r>
      <w:r w:rsidRPr="005D2606">
        <w:rPr>
          <w:rFonts w:ascii="Verdana" w:hAnsi="Verdana" w:cs="Arial"/>
          <w:iCs/>
          <w:color w:val="3366FF"/>
        </w:rPr>
        <w:t>(</w:t>
      </w:r>
      <w:r>
        <w:rPr>
          <w:rFonts w:ascii="Verdana" w:hAnsi="Verdana" w:cs="Arial"/>
          <w:iCs/>
          <w:color w:val="3366FF"/>
        </w:rPr>
        <w:t xml:space="preserve">an example of implementing an intravenous iron service can be viewed at </w:t>
      </w:r>
      <w:hyperlink r:id="rId8" w:tooltip="blocked::http://www.transfusionguidelines.org.uk/document-library/documents/implementation-of-an-intravenous-iron-service-frances-sear/download-file/rtc-eeng_2014_10_E_pres_sear.pdf" w:history="1">
        <w:r w:rsidRPr="00A56C33">
          <w:rPr>
            <w:rStyle w:val="Hyperlink"/>
            <w:rFonts w:ascii="Verdana" w:hAnsi="Verdana"/>
          </w:rPr>
          <w:t>http://www.transfusionguidelines.org.uk/document-library/documents/implementation-of-an-intravenous-iron-service-frances-sear/download-file/rtc-eeng_2014_10_E_pres_sear.pdf</w:t>
        </w:r>
      </w:hyperlink>
      <w:r w:rsidRPr="00A56C33">
        <w:rPr>
          <w:rFonts w:ascii="Verdana" w:hAnsi="Verdana" w:cs="Arial"/>
          <w:iCs/>
          <w:color w:val="3366FF"/>
        </w:rPr>
        <w:t>)</w:t>
      </w:r>
    </w:p>
    <w:p w:rsidR="00B25CBF" w:rsidRPr="005D2606" w:rsidRDefault="00B25CBF" w:rsidP="00AB479F">
      <w:pPr>
        <w:autoSpaceDE w:val="0"/>
        <w:autoSpaceDN w:val="0"/>
        <w:adjustRightInd w:val="0"/>
        <w:spacing w:after="0" w:line="240" w:lineRule="auto"/>
        <w:rPr>
          <w:rFonts w:ascii="Verdana" w:hAnsi="Verdana" w:cs="Arial"/>
          <w:iCs/>
        </w:rPr>
      </w:pPr>
    </w:p>
    <w:p w:rsidR="00B25CBF" w:rsidRPr="000C21BA" w:rsidRDefault="00B25CBF" w:rsidP="00AB479F">
      <w:pPr>
        <w:autoSpaceDE w:val="0"/>
        <w:autoSpaceDN w:val="0"/>
        <w:adjustRightInd w:val="0"/>
        <w:spacing w:after="0" w:line="240" w:lineRule="auto"/>
        <w:rPr>
          <w:rFonts w:ascii="Verdana" w:hAnsi="Verdana" w:cs="Arial"/>
          <w:b/>
          <w:iCs/>
          <w:color w:val="3366FF"/>
        </w:rPr>
      </w:pPr>
      <w:r w:rsidRPr="000C21BA">
        <w:rPr>
          <w:rFonts w:ascii="Verdana" w:hAnsi="Verdana" w:cs="Arial"/>
          <w:b/>
          <w:iCs/>
          <w:color w:val="3366FF"/>
        </w:rPr>
        <w:t>2. Resources</w:t>
      </w:r>
    </w:p>
    <w:p w:rsidR="00B25CBF" w:rsidRPr="005D2606" w:rsidRDefault="00B25CBF" w:rsidP="00AB479F">
      <w:pPr>
        <w:numPr>
          <w:ilvl w:val="0"/>
          <w:numId w:val="3"/>
        </w:numPr>
        <w:autoSpaceDE w:val="0"/>
        <w:autoSpaceDN w:val="0"/>
        <w:adjustRightInd w:val="0"/>
        <w:spacing w:after="0" w:line="240" w:lineRule="auto"/>
        <w:rPr>
          <w:rFonts w:ascii="Verdana" w:hAnsi="Verdana" w:cs="Arial"/>
          <w:iCs/>
        </w:rPr>
      </w:pPr>
      <w:r w:rsidRPr="005D2606">
        <w:rPr>
          <w:rFonts w:ascii="Verdana" w:hAnsi="Verdana" w:cs="Arial"/>
          <w:iCs/>
        </w:rPr>
        <w:t xml:space="preserve">Resources – identify which resources are required for the service (new or expansion of current service). Consider: </w:t>
      </w:r>
    </w:p>
    <w:p w:rsidR="00B25CBF" w:rsidRPr="005D2606" w:rsidRDefault="00B25CBF" w:rsidP="00AB479F">
      <w:pPr>
        <w:numPr>
          <w:ilvl w:val="0"/>
          <w:numId w:val="9"/>
        </w:numPr>
        <w:autoSpaceDE w:val="0"/>
        <w:autoSpaceDN w:val="0"/>
        <w:adjustRightInd w:val="0"/>
        <w:spacing w:after="0" w:line="240" w:lineRule="auto"/>
        <w:rPr>
          <w:rFonts w:ascii="Verdana" w:hAnsi="Verdana" w:cs="Arial"/>
          <w:iCs/>
        </w:rPr>
      </w:pPr>
      <w:r w:rsidRPr="005D2606">
        <w:rPr>
          <w:rFonts w:ascii="Verdana" w:hAnsi="Verdana" w:cs="Arial"/>
          <w:iCs/>
        </w:rPr>
        <w:t>Location</w:t>
      </w:r>
    </w:p>
    <w:p w:rsidR="00B25CBF" w:rsidRPr="005D2606" w:rsidRDefault="00B25CBF" w:rsidP="00AB479F">
      <w:pPr>
        <w:numPr>
          <w:ilvl w:val="0"/>
          <w:numId w:val="9"/>
        </w:numPr>
        <w:autoSpaceDE w:val="0"/>
        <w:autoSpaceDN w:val="0"/>
        <w:adjustRightInd w:val="0"/>
        <w:spacing w:after="0" w:line="240" w:lineRule="auto"/>
        <w:rPr>
          <w:rFonts w:ascii="Verdana" w:hAnsi="Verdana" w:cs="Arial"/>
          <w:iCs/>
        </w:rPr>
      </w:pPr>
      <w:r w:rsidRPr="005D2606">
        <w:rPr>
          <w:rFonts w:ascii="Verdana" w:hAnsi="Verdana" w:cs="Arial"/>
          <w:iCs/>
        </w:rPr>
        <w:t>Equipment (easy chairs, drip stands, crash trolleys with contents, etc)</w:t>
      </w:r>
    </w:p>
    <w:p w:rsidR="00B25CBF" w:rsidRPr="005D2606" w:rsidRDefault="00B25CBF" w:rsidP="00AB479F">
      <w:pPr>
        <w:numPr>
          <w:ilvl w:val="0"/>
          <w:numId w:val="9"/>
        </w:numPr>
        <w:autoSpaceDE w:val="0"/>
        <w:autoSpaceDN w:val="0"/>
        <w:adjustRightInd w:val="0"/>
        <w:spacing w:after="0" w:line="240" w:lineRule="auto"/>
        <w:rPr>
          <w:rFonts w:ascii="Verdana" w:hAnsi="Verdana" w:cs="Arial"/>
          <w:iCs/>
        </w:rPr>
      </w:pPr>
      <w:r w:rsidRPr="005D2606">
        <w:rPr>
          <w:rFonts w:ascii="Verdana" w:hAnsi="Verdana" w:cs="Arial"/>
          <w:iCs/>
        </w:rPr>
        <w:t xml:space="preserve">Staffing (additional nurse time, new nurse, grade, prescribers – base on patient need as identified in audit) </w:t>
      </w:r>
    </w:p>
    <w:p w:rsidR="00B25CBF" w:rsidRPr="005D2606" w:rsidRDefault="00B25CBF" w:rsidP="00AB479F">
      <w:pPr>
        <w:numPr>
          <w:ilvl w:val="0"/>
          <w:numId w:val="9"/>
        </w:numPr>
        <w:autoSpaceDE w:val="0"/>
        <w:autoSpaceDN w:val="0"/>
        <w:adjustRightInd w:val="0"/>
        <w:spacing w:after="0" w:line="240" w:lineRule="auto"/>
        <w:rPr>
          <w:rFonts w:ascii="Verdana" w:hAnsi="Verdana" w:cs="Arial"/>
          <w:iCs/>
        </w:rPr>
      </w:pPr>
      <w:r w:rsidRPr="005D2606">
        <w:rPr>
          <w:rFonts w:ascii="Verdana" w:hAnsi="Verdana" w:cs="Arial"/>
          <w:iCs/>
        </w:rPr>
        <w:t>Emergencies – contingencies for emergency situations</w:t>
      </w:r>
    </w:p>
    <w:p w:rsidR="00B25CBF" w:rsidRPr="005D2606" w:rsidRDefault="00B25CBF" w:rsidP="00AB479F">
      <w:pPr>
        <w:numPr>
          <w:ilvl w:val="0"/>
          <w:numId w:val="9"/>
        </w:numPr>
        <w:autoSpaceDE w:val="0"/>
        <w:autoSpaceDN w:val="0"/>
        <w:adjustRightInd w:val="0"/>
        <w:spacing w:after="0" w:line="240" w:lineRule="auto"/>
        <w:rPr>
          <w:rFonts w:ascii="Verdana" w:hAnsi="Verdana" w:cs="Arial"/>
          <w:iCs/>
        </w:rPr>
      </w:pPr>
      <w:r w:rsidRPr="005D2606">
        <w:rPr>
          <w:rFonts w:ascii="Verdana" w:hAnsi="Verdana" w:cs="Arial"/>
          <w:iCs/>
        </w:rPr>
        <w:t>Administration</w:t>
      </w:r>
    </w:p>
    <w:p w:rsidR="00B25CBF" w:rsidRPr="005D2606" w:rsidRDefault="00B25CBF" w:rsidP="000C210D">
      <w:pPr>
        <w:autoSpaceDE w:val="0"/>
        <w:autoSpaceDN w:val="0"/>
        <w:adjustRightInd w:val="0"/>
        <w:spacing w:after="0" w:line="240" w:lineRule="auto"/>
        <w:rPr>
          <w:rFonts w:ascii="Verdana" w:hAnsi="Verdana" w:cs="Arial"/>
          <w:iCs/>
        </w:rPr>
      </w:pPr>
    </w:p>
    <w:p w:rsidR="00B25CBF" w:rsidRDefault="00B25CBF" w:rsidP="000C210D">
      <w:pPr>
        <w:autoSpaceDE w:val="0"/>
        <w:autoSpaceDN w:val="0"/>
        <w:adjustRightInd w:val="0"/>
        <w:spacing w:after="0" w:line="240" w:lineRule="auto"/>
        <w:rPr>
          <w:rFonts w:ascii="Verdana" w:hAnsi="Verdana" w:cs="Arial"/>
          <w:b/>
          <w:iCs/>
          <w:color w:val="3366FF"/>
        </w:rPr>
      </w:pPr>
    </w:p>
    <w:p w:rsidR="00B25CBF" w:rsidRDefault="00B25CBF" w:rsidP="000C210D">
      <w:pPr>
        <w:autoSpaceDE w:val="0"/>
        <w:autoSpaceDN w:val="0"/>
        <w:adjustRightInd w:val="0"/>
        <w:spacing w:after="0" w:line="240" w:lineRule="auto"/>
        <w:rPr>
          <w:rFonts w:ascii="Verdana" w:hAnsi="Verdana" w:cs="Arial"/>
          <w:b/>
          <w:iCs/>
          <w:color w:val="3366FF"/>
        </w:rPr>
      </w:pPr>
    </w:p>
    <w:p w:rsidR="00B25CBF" w:rsidRDefault="00B25CBF" w:rsidP="000C210D">
      <w:pPr>
        <w:autoSpaceDE w:val="0"/>
        <w:autoSpaceDN w:val="0"/>
        <w:adjustRightInd w:val="0"/>
        <w:spacing w:after="0" w:line="240" w:lineRule="auto"/>
        <w:rPr>
          <w:rFonts w:ascii="Verdana" w:hAnsi="Verdana" w:cs="Arial"/>
          <w:b/>
          <w:iCs/>
          <w:color w:val="3366FF"/>
        </w:rPr>
      </w:pPr>
    </w:p>
    <w:p w:rsidR="00B25CBF" w:rsidRDefault="00B25CBF" w:rsidP="000C210D">
      <w:pPr>
        <w:autoSpaceDE w:val="0"/>
        <w:autoSpaceDN w:val="0"/>
        <w:adjustRightInd w:val="0"/>
        <w:spacing w:after="0" w:line="240" w:lineRule="auto"/>
        <w:rPr>
          <w:rFonts w:ascii="Verdana" w:hAnsi="Verdana" w:cs="Arial"/>
          <w:b/>
          <w:iCs/>
          <w:color w:val="3366FF"/>
        </w:rPr>
      </w:pPr>
    </w:p>
    <w:p w:rsidR="00B25CBF" w:rsidRDefault="00B25CBF" w:rsidP="000C210D">
      <w:pPr>
        <w:autoSpaceDE w:val="0"/>
        <w:autoSpaceDN w:val="0"/>
        <w:adjustRightInd w:val="0"/>
        <w:spacing w:after="0" w:line="240" w:lineRule="auto"/>
        <w:rPr>
          <w:rFonts w:ascii="Verdana" w:hAnsi="Verdana" w:cs="Arial"/>
          <w:b/>
          <w:iCs/>
          <w:color w:val="3366FF"/>
        </w:rPr>
      </w:pPr>
    </w:p>
    <w:p w:rsidR="00B25CBF" w:rsidRDefault="00B25CBF" w:rsidP="000C210D">
      <w:pPr>
        <w:autoSpaceDE w:val="0"/>
        <w:autoSpaceDN w:val="0"/>
        <w:adjustRightInd w:val="0"/>
        <w:spacing w:after="0" w:line="240" w:lineRule="auto"/>
        <w:rPr>
          <w:rFonts w:ascii="Verdana" w:hAnsi="Verdana" w:cs="Arial"/>
          <w:b/>
          <w:iCs/>
          <w:color w:val="3366FF"/>
        </w:rPr>
      </w:pPr>
    </w:p>
    <w:p w:rsidR="00B25CBF" w:rsidRDefault="00B25CBF" w:rsidP="000C210D">
      <w:pPr>
        <w:autoSpaceDE w:val="0"/>
        <w:autoSpaceDN w:val="0"/>
        <w:adjustRightInd w:val="0"/>
        <w:spacing w:after="0" w:line="240" w:lineRule="auto"/>
        <w:rPr>
          <w:rFonts w:ascii="Verdana" w:hAnsi="Verdana" w:cs="Arial"/>
          <w:b/>
          <w:iCs/>
          <w:color w:val="3366FF"/>
        </w:rPr>
      </w:pPr>
    </w:p>
    <w:p w:rsidR="00B25CBF" w:rsidRPr="00CA22BE" w:rsidRDefault="00B25CBF" w:rsidP="000C210D">
      <w:pPr>
        <w:autoSpaceDE w:val="0"/>
        <w:autoSpaceDN w:val="0"/>
        <w:adjustRightInd w:val="0"/>
        <w:spacing w:after="0" w:line="240" w:lineRule="auto"/>
        <w:rPr>
          <w:rFonts w:ascii="Verdana" w:hAnsi="Verdana" w:cs="Arial"/>
          <w:b/>
          <w:iCs/>
          <w:color w:val="3366FF"/>
        </w:rPr>
      </w:pPr>
      <w:r w:rsidRPr="00CA22BE">
        <w:rPr>
          <w:rFonts w:ascii="Verdana" w:hAnsi="Verdana" w:cs="Arial"/>
          <w:b/>
          <w:iCs/>
          <w:color w:val="3366FF"/>
        </w:rPr>
        <w:t>3</w:t>
      </w:r>
      <w:r>
        <w:rPr>
          <w:rFonts w:ascii="Verdana" w:hAnsi="Verdana" w:cs="Arial"/>
          <w:b/>
          <w:iCs/>
          <w:color w:val="3366FF"/>
        </w:rPr>
        <w:t>.</w:t>
      </w:r>
      <w:r w:rsidRPr="00CA22BE">
        <w:rPr>
          <w:rFonts w:ascii="Verdana" w:hAnsi="Verdana" w:cs="Arial"/>
          <w:b/>
          <w:iCs/>
          <w:color w:val="3366FF"/>
        </w:rPr>
        <w:t xml:space="preserve"> Engagement</w:t>
      </w:r>
    </w:p>
    <w:p w:rsidR="00B25CBF" w:rsidRPr="005D2606" w:rsidRDefault="00B25CBF" w:rsidP="000C210D">
      <w:pPr>
        <w:numPr>
          <w:ilvl w:val="0"/>
          <w:numId w:val="10"/>
        </w:numPr>
        <w:autoSpaceDE w:val="0"/>
        <w:autoSpaceDN w:val="0"/>
        <w:adjustRightInd w:val="0"/>
        <w:spacing w:after="0" w:line="240" w:lineRule="auto"/>
        <w:rPr>
          <w:rFonts w:ascii="Verdana" w:hAnsi="Verdana" w:cs="Arial"/>
          <w:b/>
          <w:iCs/>
        </w:rPr>
      </w:pPr>
      <w:r w:rsidRPr="005D2606">
        <w:rPr>
          <w:rFonts w:ascii="Verdana" w:hAnsi="Verdana" w:cs="Arial"/>
          <w:iCs/>
        </w:rPr>
        <w:t>HTC – Present need and requirements to gain approval to start work</w:t>
      </w:r>
    </w:p>
    <w:p w:rsidR="00B25CBF" w:rsidRPr="005D2606" w:rsidRDefault="00B25CBF" w:rsidP="000C210D">
      <w:pPr>
        <w:numPr>
          <w:ilvl w:val="0"/>
          <w:numId w:val="10"/>
        </w:numPr>
        <w:autoSpaceDE w:val="0"/>
        <w:autoSpaceDN w:val="0"/>
        <w:adjustRightInd w:val="0"/>
        <w:spacing w:after="0" w:line="240" w:lineRule="auto"/>
        <w:rPr>
          <w:rFonts w:ascii="Verdana" w:hAnsi="Verdana" w:cs="Arial"/>
          <w:b/>
          <w:iCs/>
        </w:rPr>
      </w:pPr>
      <w:r w:rsidRPr="005D2606">
        <w:rPr>
          <w:rFonts w:ascii="Verdana" w:hAnsi="Verdana" w:cs="Arial"/>
          <w:iCs/>
        </w:rPr>
        <w:t>Ownership – agree who will own this clinic and where biggest benefits will be found</w:t>
      </w:r>
    </w:p>
    <w:p w:rsidR="00B25CBF" w:rsidRPr="005D2606" w:rsidRDefault="00B25CBF" w:rsidP="000C210D">
      <w:pPr>
        <w:numPr>
          <w:ilvl w:val="0"/>
          <w:numId w:val="12"/>
        </w:numPr>
        <w:autoSpaceDE w:val="0"/>
        <w:autoSpaceDN w:val="0"/>
        <w:adjustRightInd w:val="0"/>
        <w:spacing w:after="0" w:line="240" w:lineRule="auto"/>
        <w:rPr>
          <w:rFonts w:ascii="Verdana" w:hAnsi="Verdana" w:cs="Arial"/>
          <w:b/>
          <w:iCs/>
        </w:rPr>
      </w:pPr>
      <w:r w:rsidRPr="005D2606">
        <w:rPr>
          <w:rFonts w:ascii="Verdana" w:hAnsi="Verdana" w:cs="Arial"/>
          <w:iCs/>
        </w:rPr>
        <w:t>Sell it – present and engage the targeted clinical area and different appropriate forums (include Trust newsletters, intranet, etc)</w:t>
      </w:r>
    </w:p>
    <w:p w:rsidR="00B25CBF" w:rsidRPr="005D2606" w:rsidRDefault="00B25CBF" w:rsidP="000C210D">
      <w:pPr>
        <w:numPr>
          <w:ilvl w:val="0"/>
          <w:numId w:val="12"/>
        </w:numPr>
        <w:autoSpaceDE w:val="0"/>
        <w:autoSpaceDN w:val="0"/>
        <w:adjustRightInd w:val="0"/>
        <w:spacing w:after="0" w:line="240" w:lineRule="auto"/>
        <w:rPr>
          <w:rFonts w:ascii="Verdana" w:hAnsi="Verdana" w:cs="Arial"/>
          <w:b/>
          <w:iCs/>
        </w:rPr>
      </w:pPr>
      <w:r w:rsidRPr="005D2606">
        <w:rPr>
          <w:rFonts w:ascii="Verdana" w:hAnsi="Verdana" w:cs="Arial"/>
          <w:iCs/>
        </w:rPr>
        <w:t>Champion/lead – agree a non-HTT lead for this project</w:t>
      </w:r>
    </w:p>
    <w:p w:rsidR="00B25CBF" w:rsidRPr="005D2606" w:rsidRDefault="00B25CBF" w:rsidP="000C210D">
      <w:pPr>
        <w:numPr>
          <w:ilvl w:val="0"/>
          <w:numId w:val="10"/>
        </w:numPr>
        <w:autoSpaceDE w:val="0"/>
        <w:autoSpaceDN w:val="0"/>
        <w:adjustRightInd w:val="0"/>
        <w:spacing w:after="0" w:line="240" w:lineRule="auto"/>
        <w:rPr>
          <w:rFonts w:ascii="Verdana" w:hAnsi="Verdana" w:cs="Arial"/>
          <w:b/>
          <w:iCs/>
        </w:rPr>
      </w:pPr>
      <w:r w:rsidRPr="005D2606">
        <w:rPr>
          <w:rFonts w:ascii="Verdana" w:hAnsi="Verdana" w:cs="Arial"/>
          <w:iCs/>
        </w:rPr>
        <w:t>Action plan – initiate with champion/lead. Report on this to HTC and clinical Governance</w:t>
      </w:r>
    </w:p>
    <w:p w:rsidR="00B25CBF" w:rsidRDefault="00B25CBF" w:rsidP="00264AD7">
      <w:pPr>
        <w:numPr>
          <w:ilvl w:val="0"/>
          <w:numId w:val="10"/>
        </w:numPr>
        <w:autoSpaceDE w:val="0"/>
        <w:autoSpaceDN w:val="0"/>
        <w:adjustRightInd w:val="0"/>
        <w:spacing w:after="0" w:line="240" w:lineRule="auto"/>
        <w:rPr>
          <w:rFonts w:ascii="Verdana" w:hAnsi="Verdana" w:cs="Arial"/>
          <w:b/>
          <w:iCs/>
        </w:rPr>
      </w:pPr>
      <w:r w:rsidRPr="005D2606">
        <w:rPr>
          <w:rFonts w:ascii="Verdana" w:hAnsi="Verdana" w:cs="Arial"/>
          <w:iCs/>
        </w:rPr>
        <w:t>Business Case – present case for viable service that benefits patients to senior manager for project approval (</w:t>
      </w:r>
      <w:r>
        <w:rPr>
          <w:rFonts w:ascii="Verdana" w:hAnsi="Verdana" w:cs="Arial"/>
          <w:iCs/>
        </w:rPr>
        <w:t>e.g. Operational Manager, Service D</w:t>
      </w:r>
      <w:r w:rsidRPr="005D2606">
        <w:rPr>
          <w:rFonts w:ascii="Verdana" w:hAnsi="Verdana" w:cs="Arial"/>
          <w:iCs/>
        </w:rPr>
        <w:t>ivision</w:t>
      </w:r>
      <w:r>
        <w:rPr>
          <w:rFonts w:ascii="Verdana" w:hAnsi="Verdana" w:cs="Arial"/>
          <w:iCs/>
        </w:rPr>
        <w:t>al Lead, Budget H</w:t>
      </w:r>
      <w:r w:rsidRPr="005D2606">
        <w:rPr>
          <w:rFonts w:ascii="Verdana" w:hAnsi="Verdana" w:cs="Arial"/>
          <w:iCs/>
        </w:rPr>
        <w:t xml:space="preserve">olders, etc) </w:t>
      </w:r>
      <w:r w:rsidRPr="005D2606">
        <w:rPr>
          <w:rFonts w:ascii="Verdana" w:hAnsi="Verdana" w:cs="Arial"/>
          <w:iCs/>
          <w:color w:val="3366FF"/>
        </w:rPr>
        <w:t>(</w:t>
      </w:r>
      <w:r>
        <w:rPr>
          <w:rFonts w:ascii="Verdana" w:hAnsi="Verdana" w:cs="Arial"/>
          <w:iCs/>
          <w:color w:val="3366FF"/>
        </w:rPr>
        <w:t xml:space="preserve">a template business case is available at </w:t>
      </w:r>
      <w:hyperlink r:id="rId9" w:history="1">
        <w:r w:rsidRPr="00CE4181">
          <w:rPr>
            <w:rStyle w:val="Hyperlink"/>
            <w:rFonts w:ascii="Verdana" w:hAnsi="Verdana" w:cs="Arial"/>
            <w:iCs/>
          </w:rPr>
          <w:t>http://hospital.blood.co.uk/patient-services/patient-blood-management/general-resources/</w:t>
        </w:r>
      </w:hyperlink>
      <w:r w:rsidRPr="005D2606">
        <w:rPr>
          <w:rFonts w:ascii="Verdana" w:hAnsi="Verdana" w:cs="Arial"/>
          <w:iCs/>
          <w:color w:val="3366FF"/>
        </w:rPr>
        <w:t>)</w:t>
      </w:r>
    </w:p>
    <w:p w:rsidR="00B25CBF" w:rsidRDefault="00B25CBF" w:rsidP="00264AD7">
      <w:pPr>
        <w:autoSpaceDE w:val="0"/>
        <w:autoSpaceDN w:val="0"/>
        <w:adjustRightInd w:val="0"/>
        <w:spacing w:after="0" w:line="240" w:lineRule="auto"/>
        <w:rPr>
          <w:rFonts w:ascii="Verdana" w:hAnsi="Verdana" w:cs="Arial"/>
          <w:b/>
          <w:iCs/>
          <w:color w:val="3366FF"/>
        </w:rPr>
      </w:pPr>
    </w:p>
    <w:p w:rsidR="00B25CBF" w:rsidRPr="00264AD7" w:rsidRDefault="00B25CBF" w:rsidP="00264AD7">
      <w:pPr>
        <w:autoSpaceDE w:val="0"/>
        <w:autoSpaceDN w:val="0"/>
        <w:adjustRightInd w:val="0"/>
        <w:spacing w:after="0" w:line="240" w:lineRule="auto"/>
        <w:rPr>
          <w:rFonts w:ascii="Verdana" w:hAnsi="Verdana" w:cs="Arial"/>
          <w:b/>
          <w:iCs/>
        </w:rPr>
      </w:pPr>
      <w:r w:rsidRPr="00CA22BE">
        <w:rPr>
          <w:rFonts w:ascii="Verdana" w:hAnsi="Verdana" w:cs="Arial"/>
          <w:b/>
          <w:iCs/>
          <w:color w:val="3366FF"/>
        </w:rPr>
        <w:t>4</w:t>
      </w:r>
      <w:r>
        <w:rPr>
          <w:rFonts w:ascii="Verdana" w:hAnsi="Verdana" w:cs="Arial"/>
          <w:b/>
          <w:iCs/>
          <w:color w:val="3366FF"/>
        </w:rPr>
        <w:t>.</w:t>
      </w:r>
      <w:r w:rsidRPr="00CA22BE">
        <w:rPr>
          <w:rFonts w:ascii="Verdana" w:hAnsi="Verdana" w:cs="Arial"/>
          <w:b/>
          <w:iCs/>
          <w:color w:val="3366FF"/>
        </w:rPr>
        <w:t xml:space="preserve"> Policy &amp; Protocol</w:t>
      </w:r>
    </w:p>
    <w:p w:rsidR="00B25CBF" w:rsidRPr="005D2606" w:rsidRDefault="00B25CBF" w:rsidP="002E4775">
      <w:pPr>
        <w:numPr>
          <w:ilvl w:val="0"/>
          <w:numId w:val="10"/>
        </w:numPr>
        <w:autoSpaceDE w:val="0"/>
        <w:autoSpaceDN w:val="0"/>
        <w:adjustRightInd w:val="0"/>
        <w:spacing w:after="0" w:line="240" w:lineRule="auto"/>
        <w:rPr>
          <w:rFonts w:ascii="Verdana" w:hAnsi="Verdana" w:cs="Arial"/>
          <w:b/>
          <w:iCs/>
        </w:rPr>
      </w:pPr>
      <w:r w:rsidRPr="005D2606">
        <w:rPr>
          <w:rFonts w:ascii="Verdana" w:hAnsi="Verdana" w:cs="Arial"/>
          <w:iCs/>
        </w:rPr>
        <w:t>Providers</w:t>
      </w:r>
      <w:r>
        <w:rPr>
          <w:rFonts w:ascii="Verdana" w:hAnsi="Verdana" w:cs="Arial"/>
          <w:iCs/>
        </w:rPr>
        <w:t xml:space="preserve"> </w:t>
      </w:r>
      <w:r w:rsidRPr="005D2606">
        <w:rPr>
          <w:rFonts w:ascii="Verdana" w:hAnsi="Verdana" w:cs="Arial"/>
          <w:iCs/>
        </w:rPr>
        <w:t xml:space="preserve">- review </w:t>
      </w:r>
      <w:r>
        <w:rPr>
          <w:rFonts w:ascii="Verdana" w:hAnsi="Verdana" w:cs="Arial"/>
          <w:iCs/>
        </w:rPr>
        <w:t>available</w:t>
      </w:r>
      <w:r w:rsidRPr="005D2606">
        <w:rPr>
          <w:rFonts w:ascii="Verdana" w:hAnsi="Verdana" w:cs="Arial"/>
          <w:iCs/>
        </w:rPr>
        <w:t xml:space="preserve"> iv iron</w:t>
      </w:r>
      <w:r>
        <w:rPr>
          <w:rFonts w:ascii="Verdana" w:hAnsi="Verdana" w:cs="Arial"/>
          <w:iCs/>
        </w:rPr>
        <w:t xml:space="preserve"> therapy</w:t>
      </w:r>
      <w:r w:rsidRPr="005D2606">
        <w:rPr>
          <w:rFonts w:ascii="Verdana" w:hAnsi="Verdana" w:cs="Arial"/>
          <w:iCs/>
        </w:rPr>
        <w:t xml:space="preserve"> drug</w:t>
      </w:r>
      <w:r>
        <w:rPr>
          <w:rFonts w:ascii="Verdana" w:hAnsi="Verdana" w:cs="Arial"/>
          <w:iCs/>
        </w:rPr>
        <w:t>s</w:t>
      </w:r>
      <w:r w:rsidRPr="005D2606">
        <w:rPr>
          <w:rFonts w:ascii="Verdana" w:hAnsi="Verdana" w:cs="Arial"/>
          <w:iCs/>
        </w:rPr>
        <w:t>. Review if any already exist on Trust formulary or liaise with pharmacy to select a provider which best meets Trust needs</w:t>
      </w:r>
    </w:p>
    <w:p w:rsidR="00B25CBF" w:rsidRPr="005D2606" w:rsidRDefault="00B25CBF" w:rsidP="002E4775">
      <w:pPr>
        <w:numPr>
          <w:ilvl w:val="0"/>
          <w:numId w:val="10"/>
        </w:numPr>
        <w:autoSpaceDE w:val="0"/>
        <w:autoSpaceDN w:val="0"/>
        <w:adjustRightInd w:val="0"/>
        <w:spacing w:after="0" w:line="240" w:lineRule="auto"/>
        <w:rPr>
          <w:rFonts w:ascii="Verdana" w:hAnsi="Verdana" w:cs="Arial"/>
          <w:b/>
          <w:iCs/>
        </w:rPr>
      </w:pPr>
      <w:r w:rsidRPr="005D2606">
        <w:rPr>
          <w:rFonts w:ascii="Verdana" w:hAnsi="Verdana" w:cs="Arial"/>
          <w:iCs/>
        </w:rPr>
        <w:t>Develop and gain approval for the anaemia service policy. Consider;</w:t>
      </w:r>
    </w:p>
    <w:p w:rsidR="00B25CBF" w:rsidRPr="005D2606" w:rsidRDefault="00B25CBF" w:rsidP="00116D58">
      <w:pPr>
        <w:numPr>
          <w:ilvl w:val="0"/>
          <w:numId w:val="14"/>
        </w:numPr>
        <w:autoSpaceDE w:val="0"/>
        <w:autoSpaceDN w:val="0"/>
        <w:adjustRightInd w:val="0"/>
        <w:spacing w:after="0" w:line="240" w:lineRule="auto"/>
        <w:rPr>
          <w:rFonts w:ascii="Verdana" w:hAnsi="Verdana" w:cs="Arial"/>
          <w:b/>
          <w:iCs/>
        </w:rPr>
      </w:pPr>
      <w:r w:rsidRPr="005D2606">
        <w:rPr>
          <w:rFonts w:ascii="Verdana" w:hAnsi="Verdana" w:cs="Arial"/>
          <w:iCs/>
        </w:rPr>
        <w:t>Linking to current policies</w:t>
      </w:r>
    </w:p>
    <w:p w:rsidR="00B25CBF" w:rsidRPr="005D2606" w:rsidRDefault="00B25CBF" w:rsidP="00116D58">
      <w:pPr>
        <w:numPr>
          <w:ilvl w:val="0"/>
          <w:numId w:val="14"/>
        </w:numPr>
        <w:autoSpaceDE w:val="0"/>
        <w:autoSpaceDN w:val="0"/>
        <w:adjustRightInd w:val="0"/>
        <w:spacing w:after="0" w:line="240" w:lineRule="auto"/>
        <w:rPr>
          <w:rFonts w:ascii="Verdana" w:hAnsi="Verdana" w:cs="Arial"/>
          <w:b/>
          <w:iCs/>
        </w:rPr>
      </w:pPr>
      <w:r w:rsidRPr="005D2606">
        <w:rPr>
          <w:rFonts w:ascii="Verdana" w:hAnsi="Verdana" w:cs="Arial"/>
          <w:iCs/>
        </w:rPr>
        <w:t>Referral forms</w:t>
      </w:r>
    </w:p>
    <w:p w:rsidR="00B25CBF" w:rsidRPr="005D2606" w:rsidRDefault="00B25CBF" w:rsidP="00116D58">
      <w:pPr>
        <w:numPr>
          <w:ilvl w:val="0"/>
          <w:numId w:val="14"/>
        </w:numPr>
        <w:autoSpaceDE w:val="0"/>
        <w:autoSpaceDN w:val="0"/>
        <w:adjustRightInd w:val="0"/>
        <w:spacing w:after="0" w:line="240" w:lineRule="auto"/>
        <w:rPr>
          <w:rFonts w:ascii="Verdana" w:hAnsi="Verdana" w:cs="Arial"/>
          <w:b/>
          <w:iCs/>
        </w:rPr>
      </w:pPr>
      <w:r w:rsidRPr="005D2606">
        <w:rPr>
          <w:rFonts w:ascii="Verdana" w:hAnsi="Verdana" w:cs="Arial"/>
          <w:iCs/>
        </w:rPr>
        <w:t xml:space="preserve">Care pathways </w:t>
      </w:r>
      <w:r w:rsidRPr="005D2606">
        <w:rPr>
          <w:rFonts w:ascii="Verdana" w:hAnsi="Verdana" w:cs="Arial"/>
          <w:iCs/>
          <w:color w:val="3366FF"/>
        </w:rPr>
        <w:t>(</w:t>
      </w:r>
      <w:r>
        <w:rPr>
          <w:rFonts w:ascii="Verdana" w:hAnsi="Verdana" w:cs="Arial"/>
          <w:iCs/>
          <w:color w:val="3366FF"/>
        </w:rPr>
        <w:t>example flow charts for anaemia services are available from</w:t>
      </w:r>
      <w:r>
        <w:t xml:space="preserve"> </w:t>
      </w:r>
      <w:hyperlink r:id="rId10" w:history="1">
        <w:r w:rsidRPr="00D17AFC">
          <w:rPr>
            <w:rStyle w:val="Hyperlink"/>
            <w:rFonts w:ascii="Verdana" w:hAnsi="Verdana"/>
          </w:rPr>
          <w:t>http://www.transfusionguidelines.org/uk-transfusion-committees/regional-transfusion-committees/london/rtc-business/rtc-working-groups</w:t>
        </w:r>
      </w:hyperlink>
      <w:r w:rsidRPr="00D17AFC">
        <w:rPr>
          <w:rFonts w:ascii="Verdana" w:hAnsi="Verdana" w:cs="Arial"/>
          <w:iCs/>
          <w:color w:val="3366FF"/>
        </w:rPr>
        <w:t>)</w:t>
      </w:r>
      <w:r>
        <w:rPr>
          <w:rFonts w:ascii="Verdana" w:hAnsi="Verdana" w:cs="Arial"/>
          <w:iCs/>
          <w:color w:val="3366FF"/>
        </w:rPr>
        <w:t xml:space="preserve"> </w:t>
      </w:r>
    </w:p>
    <w:p w:rsidR="00B25CBF" w:rsidRPr="005D2606" w:rsidRDefault="00B25CBF" w:rsidP="00116D58">
      <w:pPr>
        <w:numPr>
          <w:ilvl w:val="0"/>
          <w:numId w:val="14"/>
        </w:numPr>
        <w:autoSpaceDE w:val="0"/>
        <w:autoSpaceDN w:val="0"/>
        <w:adjustRightInd w:val="0"/>
        <w:spacing w:after="0" w:line="240" w:lineRule="auto"/>
        <w:rPr>
          <w:rFonts w:ascii="Verdana" w:hAnsi="Verdana" w:cs="Arial"/>
          <w:b/>
          <w:iCs/>
        </w:rPr>
      </w:pPr>
      <w:r w:rsidRPr="005D2606">
        <w:rPr>
          <w:rFonts w:ascii="Verdana" w:hAnsi="Verdana" w:cs="Arial"/>
          <w:iCs/>
        </w:rPr>
        <w:t>Review by pharmacy, clinical lead, HTC, service manager, clinical governance, commercial suppler of iv iron drug</w:t>
      </w:r>
    </w:p>
    <w:p w:rsidR="00B25CBF" w:rsidRPr="005D2606" w:rsidRDefault="00B25CBF" w:rsidP="00116D58">
      <w:pPr>
        <w:numPr>
          <w:ilvl w:val="0"/>
          <w:numId w:val="14"/>
        </w:numPr>
        <w:autoSpaceDE w:val="0"/>
        <w:autoSpaceDN w:val="0"/>
        <w:adjustRightInd w:val="0"/>
        <w:spacing w:after="0" w:line="240" w:lineRule="auto"/>
        <w:rPr>
          <w:rFonts w:ascii="Verdana" w:hAnsi="Verdana" w:cs="Arial"/>
          <w:b/>
          <w:iCs/>
        </w:rPr>
      </w:pPr>
      <w:r w:rsidRPr="005D2606">
        <w:rPr>
          <w:rFonts w:ascii="Verdana" w:hAnsi="Verdana" w:cs="Arial"/>
          <w:iCs/>
        </w:rPr>
        <w:t>Ratify by appropriate people and committees</w:t>
      </w:r>
    </w:p>
    <w:p w:rsidR="00B25CBF" w:rsidRPr="005D2606" w:rsidRDefault="00B25CBF" w:rsidP="00C52D94">
      <w:pPr>
        <w:numPr>
          <w:ilvl w:val="0"/>
          <w:numId w:val="14"/>
        </w:numPr>
        <w:tabs>
          <w:tab w:val="clear" w:pos="1080"/>
          <w:tab w:val="num" w:pos="720"/>
        </w:tabs>
        <w:autoSpaceDE w:val="0"/>
        <w:autoSpaceDN w:val="0"/>
        <w:adjustRightInd w:val="0"/>
        <w:spacing w:after="0" w:line="240" w:lineRule="auto"/>
        <w:ind w:left="720"/>
        <w:rPr>
          <w:rFonts w:ascii="Verdana" w:hAnsi="Verdana" w:cs="Arial"/>
          <w:b/>
          <w:iCs/>
        </w:rPr>
      </w:pPr>
      <w:r w:rsidRPr="005D2606">
        <w:rPr>
          <w:rFonts w:ascii="Verdana" w:hAnsi="Verdana" w:cs="Arial"/>
          <w:iCs/>
        </w:rPr>
        <w:t>Audit – include system to review and audit uptake and outcomes of policy (regular</w:t>
      </w:r>
      <w:r>
        <w:rPr>
          <w:rFonts w:ascii="Verdana" w:hAnsi="Verdana" w:cs="Arial"/>
          <w:iCs/>
        </w:rPr>
        <w:t>/continuous data collection</w:t>
      </w:r>
      <w:r w:rsidRPr="005D2606">
        <w:rPr>
          <w:rFonts w:ascii="Verdana" w:hAnsi="Verdana" w:cs="Arial"/>
          <w:iCs/>
        </w:rPr>
        <w:t>)</w:t>
      </w:r>
    </w:p>
    <w:p w:rsidR="00B25CBF" w:rsidRPr="005D2606" w:rsidRDefault="00B25CBF" w:rsidP="00A30E8F">
      <w:pPr>
        <w:autoSpaceDE w:val="0"/>
        <w:autoSpaceDN w:val="0"/>
        <w:adjustRightInd w:val="0"/>
        <w:spacing w:after="0" w:line="240" w:lineRule="auto"/>
        <w:ind w:left="360"/>
        <w:rPr>
          <w:rFonts w:ascii="Verdana" w:hAnsi="Verdana" w:cs="Arial"/>
          <w:b/>
          <w:iCs/>
        </w:rPr>
      </w:pPr>
    </w:p>
    <w:p w:rsidR="00B25CBF" w:rsidRPr="00264AD7" w:rsidRDefault="00B25CBF" w:rsidP="00A30E8F">
      <w:pPr>
        <w:autoSpaceDE w:val="0"/>
        <w:autoSpaceDN w:val="0"/>
        <w:adjustRightInd w:val="0"/>
        <w:spacing w:after="0" w:line="240" w:lineRule="auto"/>
        <w:rPr>
          <w:rFonts w:ascii="Verdana" w:hAnsi="Verdana" w:cs="Arial"/>
          <w:b/>
          <w:iCs/>
          <w:color w:val="3366FF"/>
        </w:rPr>
      </w:pPr>
      <w:r w:rsidRPr="00264AD7">
        <w:rPr>
          <w:rFonts w:ascii="Verdana" w:hAnsi="Verdana" w:cs="Arial"/>
          <w:b/>
          <w:iCs/>
          <w:color w:val="3366FF"/>
        </w:rPr>
        <w:t>5. Communications</w:t>
      </w:r>
    </w:p>
    <w:p w:rsidR="00B25CBF" w:rsidRPr="005D2606" w:rsidRDefault="00B25CBF" w:rsidP="00CC1FF5">
      <w:pPr>
        <w:numPr>
          <w:ilvl w:val="0"/>
          <w:numId w:val="3"/>
        </w:numPr>
        <w:autoSpaceDE w:val="0"/>
        <w:autoSpaceDN w:val="0"/>
        <w:adjustRightInd w:val="0"/>
        <w:spacing w:after="0" w:line="240" w:lineRule="auto"/>
        <w:rPr>
          <w:rFonts w:ascii="Verdana" w:hAnsi="Verdana" w:cs="Arial"/>
          <w:iCs/>
        </w:rPr>
      </w:pPr>
      <w:r w:rsidRPr="005D2606">
        <w:rPr>
          <w:rFonts w:ascii="Verdana" w:hAnsi="Verdana" w:cs="Arial"/>
          <w:iCs/>
        </w:rPr>
        <w:t xml:space="preserve">Referrals – inform areas for referral </w:t>
      </w:r>
      <w:r>
        <w:rPr>
          <w:rFonts w:ascii="Verdana" w:hAnsi="Verdana" w:cs="Arial"/>
          <w:iCs/>
        </w:rPr>
        <w:t xml:space="preserve">source </w:t>
      </w:r>
      <w:r w:rsidRPr="005D2606">
        <w:rPr>
          <w:rFonts w:ascii="Verdana" w:hAnsi="Verdana" w:cs="Arial"/>
          <w:iCs/>
        </w:rPr>
        <w:t>that an anaemia management service is set up. Include which patient referrals are appropriate and how they can access the pathway</w:t>
      </w:r>
    </w:p>
    <w:p w:rsidR="00B25CBF" w:rsidRPr="005D2606" w:rsidRDefault="00B25CBF" w:rsidP="007739D2">
      <w:pPr>
        <w:numPr>
          <w:ilvl w:val="0"/>
          <w:numId w:val="3"/>
        </w:numPr>
        <w:autoSpaceDE w:val="0"/>
        <w:autoSpaceDN w:val="0"/>
        <w:adjustRightInd w:val="0"/>
        <w:spacing w:after="0" w:line="240" w:lineRule="auto"/>
        <w:rPr>
          <w:rFonts w:ascii="Verdana" w:hAnsi="Verdana" w:cs="Arial"/>
          <w:iCs/>
        </w:rPr>
      </w:pPr>
      <w:r w:rsidRPr="005D2606">
        <w:rPr>
          <w:rFonts w:ascii="Verdana" w:hAnsi="Verdana" w:cs="Arial"/>
          <w:iCs/>
        </w:rPr>
        <w:t xml:space="preserve">Publicise – projected/realised savings and benefits to patients and Trust. </w:t>
      </w:r>
    </w:p>
    <w:p w:rsidR="00B25CBF" w:rsidRPr="005D2606" w:rsidRDefault="00B25CBF" w:rsidP="00E5527F">
      <w:pPr>
        <w:autoSpaceDE w:val="0"/>
        <w:autoSpaceDN w:val="0"/>
        <w:adjustRightInd w:val="0"/>
        <w:spacing w:after="0" w:line="240" w:lineRule="auto"/>
        <w:rPr>
          <w:rFonts w:ascii="Verdana" w:hAnsi="Verdana" w:cs="Arial"/>
          <w:iCs/>
        </w:rPr>
      </w:pPr>
    </w:p>
    <w:p w:rsidR="00B25CBF" w:rsidRPr="00264AD7" w:rsidRDefault="00B25CBF" w:rsidP="00E5527F">
      <w:pPr>
        <w:autoSpaceDE w:val="0"/>
        <w:autoSpaceDN w:val="0"/>
        <w:adjustRightInd w:val="0"/>
        <w:spacing w:after="0" w:line="240" w:lineRule="auto"/>
        <w:rPr>
          <w:rFonts w:ascii="Verdana" w:hAnsi="Verdana" w:cs="Arial"/>
          <w:b/>
          <w:iCs/>
          <w:color w:val="3366FF"/>
        </w:rPr>
      </w:pPr>
      <w:r w:rsidRPr="00264AD7">
        <w:rPr>
          <w:rFonts w:ascii="Verdana" w:hAnsi="Verdana" w:cs="Arial"/>
          <w:b/>
          <w:iCs/>
          <w:color w:val="3366FF"/>
        </w:rPr>
        <w:t>6. Review &amp; next steps</w:t>
      </w:r>
    </w:p>
    <w:p w:rsidR="00B25CBF" w:rsidRPr="005D2606" w:rsidRDefault="00B25CBF" w:rsidP="007739D2">
      <w:pPr>
        <w:numPr>
          <w:ilvl w:val="0"/>
          <w:numId w:val="15"/>
        </w:numPr>
        <w:autoSpaceDE w:val="0"/>
        <w:autoSpaceDN w:val="0"/>
        <w:adjustRightInd w:val="0"/>
        <w:spacing w:after="0" w:line="240" w:lineRule="auto"/>
        <w:rPr>
          <w:rFonts w:ascii="Verdana" w:hAnsi="Verdana" w:cs="Arial"/>
          <w:iCs/>
        </w:rPr>
      </w:pPr>
      <w:r w:rsidRPr="005D2606">
        <w:rPr>
          <w:rFonts w:ascii="Verdana" w:hAnsi="Verdana" w:cs="Arial"/>
          <w:iCs/>
        </w:rPr>
        <w:t>Evaluation – formally evaluate the project against the proposed benefits</w:t>
      </w:r>
      <w:r>
        <w:rPr>
          <w:rFonts w:ascii="Verdana" w:hAnsi="Verdana" w:cs="Arial"/>
          <w:iCs/>
        </w:rPr>
        <w:t xml:space="preserve"> (as in approved business case)</w:t>
      </w:r>
    </w:p>
    <w:p w:rsidR="00B25CBF" w:rsidRPr="005D2606" w:rsidRDefault="00B25CBF" w:rsidP="007739D2">
      <w:pPr>
        <w:numPr>
          <w:ilvl w:val="0"/>
          <w:numId w:val="15"/>
        </w:numPr>
        <w:autoSpaceDE w:val="0"/>
        <w:autoSpaceDN w:val="0"/>
        <w:adjustRightInd w:val="0"/>
        <w:spacing w:after="0" w:line="240" w:lineRule="auto"/>
        <w:rPr>
          <w:rFonts w:ascii="Verdana" w:hAnsi="Verdana" w:cs="Arial"/>
          <w:iCs/>
        </w:rPr>
      </w:pPr>
      <w:r w:rsidRPr="005D2606">
        <w:rPr>
          <w:rFonts w:ascii="Verdana" w:hAnsi="Verdana" w:cs="Arial"/>
          <w:iCs/>
        </w:rPr>
        <w:t xml:space="preserve">Expansion – consider including other patient groups and primary care providers (restart </w:t>
      </w:r>
      <w:r>
        <w:rPr>
          <w:rFonts w:ascii="Verdana" w:hAnsi="Verdana" w:cs="Arial"/>
          <w:iCs/>
        </w:rPr>
        <w:t xml:space="preserve">check list </w:t>
      </w:r>
      <w:r w:rsidRPr="005D2606">
        <w:rPr>
          <w:rFonts w:ascii="Verdana" w:hAnsi="Verdana" w:cs="Arial"/>
          <w:iCs/>
        </w:rPr>
        <w:t>at step 1)</w:t>
      </w:r>
    </w:p>
    <w:p w:rsidR="00B25CBF" w:rsidRPr="005D2606" w:rsidRDefault="00B25CBF" w:rsidP="007739D2">
      <w:pPr>
        <w:numPr>
          <w:ilvl w:val="0"/>
          <w:numId w:val="15"/>
        </w:numPr>
        <w:autoSpaceDE w:val="0"/>
        <w:autoSpaceDN w:val="0"/>
        <w:adjustRightInd w:val="0"/>
        <w:spacing w:after="0" w:line="240" w:lineRule="auto"/>
        <w:rPr>
          <w:rFonts w:ascii="Verdana" w:hAnsi="Verdana" w:cs="Arial"/>
          <w:iCs/>
        </w:rPr>
      </w:pPr>
      <w:r w:rsidRPr="005D2606">
        <w:rPr>
          <w:rFonts w:ascii="Verdana" w:hAnsi="Verdana" w:cs="Arial"/>
          <w:iCs/>
        </w:rPr>
        <w:t>Share practice – celebrate success and patient experience, feedback to Trust and regional/national colleagues, publish local results to build evidence base</w:t>
      </w:r>
    </w:p>
    <w:p w:rsidR="00B25CBF" w:rsidRDefault="00B25CBF" w:rsidP="008D0165">
      <w:pPr>
        <w:rPr>
          <w:rFonts w:ascii="Verdana" w:hAnsi="Verdana"/>
          <w:color w:val="FF0000"/>
        </w:rPr>
      </w:pPr>
    </w:p>
    <w:p w:rsidR="00B25CBF" w:rsidRPr="00264AD7" w:rsidRDefault="00B25CBF" w:rsidP="008D0165">
      <w:pPr>
        <w:rPr>
          <w:rFonts w:ascii="Verdana" w:hAnsi="Verdana"/>
          <w:color w:val="3366FF"/>
        </w:rPr>
      </w:pPr>
      <w:r>
        <w:rPr>
          <w:rFonts w:ascii="Verdana" w:hAnsi="Verdana"/>
          <w:color w:val="3366FF"/>
        </w:rPr>
        <w:t xml:space="preserve">Good luck. If you require any support with the above contact your local Patient Blood Management Practitioner or ask your regional peers. </w:t>
      </w:r>
    </w:p>
    <w:sectPr w:rsidR="00B25CBF" w:rsidRPr="00264AD7" w:rsidSect="00264AD7">
      <w:pgSz w:w="11906" w:h="16838"/>
      <w:pgMar w:top="1079" w:right="746" w:bottom="719"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71803"/>
    <w:multiLevelType w:val="multilevel"/>
    <w:tmpl w:val="AA145BA4"/>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E0A44DC"/>
    <w:multiLevelType w:val="hybridMultilevel"/>
    <w:tmpl w:val="C960083C"/>
    <w:lvl w:ilvl="0" w:tplc="570E0DF2">
      <w:start w:val="1"/>
      <w:numFmt w:val="bullet"/>
      <w:lvlText w:val=""/>
      <w:lvlJc w:val="left"/>
      <w:pPr>
        <w:tabs>
          <w:tab w:val="num" w:pos="1080"/>
        </w:tabs>
        <w:ind w:left="1080" w:hanging="360"/>
      </w:pPr>
      <w:rPr>
        <w:rFonts w:ascii="Webdings" w:hAnsi="Web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1D4F2375"/>
    <w:multiLevelType w:val="multilevel"/>
    <w:tmpl w:val="6D165826"/>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F92BAF"/>
    <w:multiLevelType w:val="multilevel"/>
    <w:tmpl w:val="AA145BA4"/>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167062"/>
    <w:multiLevelType w:val="hybridMultilevel"/>
    <w:tmpl w:val="6D165826"/>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6276A12"/>
    <w:multiLevelType w:val="hybridMultilevel"/>
    <w:tmpl w:val="27400910"/>
    <w:lvl w:ilvl="0" w:tplc="570E0DF2">
      <w:start w:val="1"/>
      <w:numFmt w:val="bullet"/>
      <w:lvlText w:val=""/>
      <w:lvlJc w:val="left"/>
      <w:pPr>
        <w:tabs>
          <w:tab w:val="num" w:pos="720"/>
        </w:tabs>
        <w:ind w:left="720" w:hanging="360"/>
      </w:pPr>
      <w:rPr>
        <w:rFonts w:ascii="Webdings" w:hAnsi="Web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C364EF5"/>
    <w:multiLevelType w:val="multilevel"/>
    <w:tmpl w:val="27400910"/>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FAC206D"/>
    <w:multiLevelType w:val="hybridMultilevel"/>
    <w:tmpl w:val="A412CC5A"/>
    <w:lvl w:ilvl="0" w:tplc="570E0DF2">
      <w:start w:val="1"/>
      <w:numFmt w:val="bullet"/>
      <w:lvlText w:val=""/>
      <w:lvlJc w:val="left"/>
      <w:pPr>
        <w:tabs>
          <w:tab w:val="num" w:pos="1080"/>
        </w:tabs>
        <w:ind w:left="1080" w:hanging="360"/>
      </w:pPr>
      <w:rPr>
        <w:rFonts w:ascii="Webdings" w:hAnsi="Web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360B050E"/>
    <w:multiLevelType w:val="hybridMultilevel"/>
    <w:tmpl w:val="065A1F80"/>
    <w:lvl w:ilvl="0" w:tplc="570E0DF2">
      <w:start w:val="1"/>
      <w:numFmt w:val="bullet"/>
      <w:lvlText w:val=""/>
      <w:lvlJc w:val="left"/>
      <w:pPr>
        <w:tabs>
          <w:tab w:val="num" w:pos="1080"/>
        </w:tabs>
        <w:ind w:left="1080" w:hanging="360"/>
      </w:pPr>
      <w:rPr>
        <w:rFonts w:ascii="Webdings" w:hAnsi="Web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nsid w:val="5836488C"/>
    <w:multiLevelType w:val="hybridMultilevel"/>
    <w:tmpl w:val="E0A24320"/>
    <w:lvl w:ilvl="0" w:tplc="570E0DF2">
      <w:start w:val="1"/>
      <w:numFmt w:val="bullet"/>
      <w:lvlText w:val=""/>
      <w:lvlJc w:val="left"/>
      <w:pPr>
        <w:tabs>
          <w:tab w:val="num" w:pos="1080"/>
        </w:tabs>
        <w:ind w:left="1080" w:hanging="360"/>
      </w:pPr>
      <w:rPr>
        <w:rFonts w:ascii="Webdings" w:hAnsi="Web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5A972CB1"/>
    <w:multiLevelType w:val="hybridMultilevel"/>
    <w:tmpl w:val="8E107A04"/>
    <w:lvl w:ilvl="0" w:tplc="570E0DF2">
      <w:start w:val="1"/>
      <w:numFmt w:val="bullet"/>
      <w:lvlText w:val=""/>
      <w:lvlJc w:val="left"/>
      <w:pPr>
        <w:tabs>
          <w:tab w:val="num" w:pos="1080"/>
        </w:tabs>
        <w:ind w:left="1080" w:hanging="360"/>
      </w:pPr>
      <w:rPr>
        <w:rFonts w:ascii="Webdings" w:hAnsi="Webdings"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60CA6CF9"/>
    <w:multiLevelType w:val="hybridMultilevel"/>
    <w:tmpl w:val="B6E859C2"/>
    <w:lvl w:ilvl="0" w:tplc="570E0DF2">
      <w:start w:val="1"/>
      <w:numFmt w:val="bullet"/>
      <w:lvlText w:val=""/>
      <w:lvlJc w:val="left"/>
      <w:pPr>
        <w:tabs>
          <w:tab w:val="num" w:pos="720"/>
        </w:tabs>
        <w:ind w:left="720" w:hanging="360"/>
      </w:pPr>
      <w:rPr>
        <w:rFonts w:ascii="Webdings" w:hAnsi="Web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619B449E"/>
    <w:multiLevelType w:val="multilevel"/>
    <w:tmpl w:val="AA145BA4"/>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668435D3"/>
    <w:multiLevelType w:val="multilevel"/>
    <w:tmpl w:val="27400910"/>
    <w:lvl w:ilvl="0">
      <w:start w:val="1"/>
      <w:numFmt w:val="bullet"/>
      <w:lvlText w:val=""/>
      <w:lvlJc w:val="left"/>
      <w:pPr>
        <w:tabs>
          <w:tab w:val="num" w:pos="720"/>
        </w:tabs>
        <w:ind w:left="720" w:hanging="360"/>
      </w:pPr>
      <w:rPr>
        <w:rFonts w:ascii="Webdings"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E3A7713"/>
    <w:multiLevelType w:val="hybridMultilevel"/>
    <w:tmpl w:val="AA145BA4"/>
    <w:lvl w:ilvl="0" w:tplc="570E0DF2">
      <w:start w:val="1"/>
      <w:numFmt w:val="bullet"/>
      <w:lvlText w:val=""/>
      <w:lvlJc w:val="left"/>
      <w:pPr>
        <w:tabs>
          <w:tab w:val="num" w:pos="720"/>
        </w:tabs>
        <w:ind w:left="720" w:hanging="360"/>
      </w:pPr>
      <w:rPr>
        <w:rFonts w:ascii="Webdings" w:hAnsi="Web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14"/>
  </w:num>
  <w:num w:numId="4">
    <w:abstractNumId w:val="12"/>
  </w:num>
  <w:num w:numId="5">
    <w:abstractNumId w:val="8"/>
  </w:num>
  <w:num w:numId="6">
    <w:abstractNumId w:val="0"/>
  </w:num>
  <w:num w:numId="7">
    <w:abstractNumId w:val="9"/>
  </w:num>
  <w:num w:numId="8">
    <w:abstractNumId w:val="3"/>
  </w:num>
  <w:num w:numId="9">
    <w:abstractNumId w:val="1"/>
  </w:num>
  <w:num w:numId="10">
    <w:abstractNumId w:val="5"/>
  </w:num>
  <w:num w:numId="11">
    <w:abstractNumId w:val="6"/>
  </w:num>
  <w:num w:numId="12">
    <w:abstractNumId w:val="10"/>
  </w:num>
  <w:num w:numId="13">
    <w:abstractNumId w:val="13"/>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0165"/>
    <w:rsid w:val="000302DB"/>
    <w:rsid w:val="00073EDA"/>
    <w:rsid w:val="00092499"/>
    <w:rsid w:val="000C210D"/>
    <w:rsid w:val="000C21BA"/>
    <w:rsid w:val="000D452B"/>
    <w:rsid w:val="00116D58"/>
    <w:rsid w:val="00187983"/>
    <w:rsid w:val="001C3C40"/>
    <w:rsid w:val="002116A2"/>
    <w:rsid w:val="00257DC9"/>
    <w:rsid w:val="00264AD7"/>
    <w:rsid w:val="002E3734"/>
    <w:rsid w:val="002E4775"/>
    <w:rsid w:val="002E6088"/>
    <w:rsid w:val="003410DE"/>
    <w:rsid w:val="005B1B84"/>
    <w:rsid w:val="005D2606"/>
    <w:rsid w:val="005D37E8"/>
    <w:rsid w:val="00612235"/>
    <w:rsid w:val="0062546D"/>
    <w:rsid w:val="007739D2"/>
    <w:rsid w:val="00794A50"/>
    <w:rsid w:val="008522D6"/>
    <w:rsid w:val="00897802"/>
    <w:rsid w:val="008D0165"/>
    <w:rsid w:val="009E75A0"/>
    <w:rsid w:val="009F4763"/>
    <w:rsid w:val="00A051CA"/>
    <w:rsid w:val="00A21EBD"/>
    <w:rsid w:val="00A30E8F"/>
    <w:rsid w:val="00A56C33"/>
    <w:rsid w:val="00AB479F"/>
    <w:rsid w:val="00B1225D"/>
    <w:rsid w:val="00B25CBF"/>
    <w:rsid w:val="00B75401"/>
    <w:rsid w:val="00B75AA4"/>
    <w:rsid w:val="00C242DF"/>
    <w:rsid w:val="00C424EE"/>
    <w:rsid w:val="00C52D94"/>
    <w:rsid w:val="00CA22BE"/>
    <w:rsid w:val="00CC1FF5"/>
    <w:rsid w:val="00CE4181"/>
    <w:rsid w:val="00D17AFC"/>
    <w:rsid w:val="00E5527F"/>
    <w:rsid w:val="00EE2FC7"/>
    <w:rsid w:val="00F2410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FC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21BA"/>
    <w:rPr>
      <w:rFonts w:cs="Times New Roman"/>
      <w:color w:val="0000FF"/>
      <w:u w:val="single"/>
    </w:rPr>
  </w:style>
  <w:style w:type="character" w:styleId="FollowedHyperlink">
    <w:name w:val="FollowedHyperlink"/>
    <w:basedOn w:val="DefaultParagraphFont"/>
    <w:uiPriority w:val="99"/>
    <w:rsid w:val="00264AD7"/>
    <w:rPr>
      <w:rFonts w:cs="Times New Roman"/>
      <w:color w:val="000080"/>
      <w:u w:val="single"/>
    </w:rPr>
  </w:style>
</w:styles>
</file>

<file path=word/webSettings.xml><?xml version="1.0" encoding="utf-8"?>
<w:webSettings xmlns:r="http://schemas.openxmlformats.org/officeDocument/2006/relationships" xmlns:w="http://schemas.openxmlformats.org/wordprocessingml/2006/main">
  <w:divs>
    <w:div w:id="10945925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fusionguidelines.org.uk/document-library/documents/implementation-of-an-intravenous-iron-service-frances-sear/download-file/rtc-eeng_2014_10_E_pres_sear.pdf" TargetMode="External"/><Relationship Id="rId3" Type="http://schemas.openxmlformats.org/officeDocument/2006/relationships/settings" Target="settings.xml"/><Relationship Id="rId7" Type="http://schemas.openxmlformats.org/officeDocument/2006/relationships/hyperlink" Target="http://hospital.blood.co.uk/patient-services/patient-blood-management/general-resourc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nsfusionguidelines.org/uk-transfusion-committees/regional-transfusion-committees/london/rtc-business/rtc-working-group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ransfusionguidelines.org/uk-transfusion-committees/regional-transfusion-committees/london/rtc-business/rtc-working-groups" TargetMode="External"/><Relationship Id="rId4" Type="http://schemas.openxmlformats.org/officeDocument/2006/relationships/webSettings" Target="webSettings.xml"/><Relationship Id="rId9" Type="http://schemas.openxmlformats.org/officeDocument/2006/relationships/hyperlink" Target="http://hospital.blood.co.uk/patient-services/patient-blood-management/genera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TotalTime>
  <Pages>2</Pages>
  <Words>835</Words>
  <Characters>4761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Carr</dc:creator>
  <cp:keywords/>
  <dc:description/>
  <cp:lastModifiedBy>Administrator</cp:lastModifiedBy>
  <cp:revision>23</cp:revision>
  <cp:lastPrinted>2015-03-31T16:28:00Z</cp:lastPrinted>
  <dcterms:created xsi:type="dcterms:W3CDTF">2015-04-29T13:41:00Z</dcterms:created>
  <dcterms:modified xsi:type="dcterms:W3CDTF">2015-07-29T16:05:00Z</dcterms:modified>
</cp:coreProperties>
</file>